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sz w:val="52"/>
          <w:szCs w:val="5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  <w:r>
        <w:rPr>
          <w:rFonts w:hint="eastAsia" w:ascii="方正小标宋简体" w:eastAsia="方正小标宋简体"/>
          <w:b/>
          <w:sz w:val="72"/>
          <w:szCs w:val="72"/>
        </w:rPr>
        <w:t>山西省药品监督管理统计</w:t>
      </w: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  <w:r>
        <w:rPr>
          <w:rFonts w:hint="eastAsia" w:ascii="方正小标宋简体" w:eastAsia="方正小标宋简体"/>
          <w:b/>
          <w:sz w:val="72"/>
          <w:szCs w:val="72"/>
        </w:rPr>
        <w:t>分析报告</w:t>
      </w: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tabs>
          <w:tab w:val="left" w:pos="-284"/>
          <w:tab w:val="left" w:pos="6440"/>
        </w:tabs>
        <w:spacing w:before="120" w:after="120"/>
        <w:ind w:left="-197" w:leftChars="-94"/>
        <w:jc w:val="center"/>
        <w:rPr>
          <w:rFonts w:ascii="楷体_GB2312" w:hAnsi="方正小标宋简体" w:eastAsia="楷体_GB2312" w:cs="方正小标宋简体"/>
          <w:b/>
          <w:bCs/>
          <w:sz w:val="44"/>
          <w:szCs w:val="44"/>
        </w:rPr>
      </w:pPr>
      <w:r>
        <w:rPr>
          <w:rFonts w:hint="eastAsia" w:ascii="楷体_GB2312" w:hAnsi="方正小标宋简体" w:eastAsia="楷体_GB2312" w:cs="方正小标宋简体"/>
          <w:b/>
          <w:bCs/>
          <w:sz w:val="44"/>
          <w:szCs w:val="44"/>
        </w:rPr>
        <w:t>（</w:t>
      </w:r>
      <w:r>
        <w:rPr>
          <w:rFonts w:hint="eastAsia" w:ascii="楷体_GB2312" w:hAnsi="方正小标宋简体" w:eastAsia="楷体_GB2312" w:cs="方正小标宋简体"/>
          <w:sz w:val="44"/>
          <w:szCs w:val="44"/>
        </w:rPr>
        <w:t>2019年第2季度</w:t>
      </w:r>
      <w:r>
        <w:rPr>
          <w:rFonts w:hint="eastAsia" w:ascii="楷体_GB2312" w:hAnsi="方正小标宋简体" w:eastAsia="楷体_GB2312" w:cs="方正小标宋简体"/>
          <w:b/>
          <w:bCs/>
          <w:sz w:val="44"/>
          <w:szCs w:val="44"/>
        </w:rPr>
        <w:t>）</w:t>
      </w: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jc w:val="center"/>
        <w:rPr>
          <w:rFonts w:ascii="方正小标宋简体" w:eastAsia="方正小标宋简体"/>
          <w:b/>
          <w:sz w:val="72"/>
          <w:szCs w:val="72"/>
        </w:rPr>
      </w:pPr>
    </w:p>
    <w:p>
      <w:pPr>
        <w:tabs>
          <w:tab w:val="left" w:pos="6440"/>
        </w:tabs>
        <w:spacing w:before="120" w:after="120"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山西省药品监督管理局办公室</w:t>
      </w:r>
    </w:p>
    <w:p>
      <w:pPr>
        <w:tabs>
          <w:tab w:val="left" w:pos="6440"/>
        </w:tabs>
        <w:spacing w:before="120" w:after="120" w:line="360" w:lineRule="auto"/>
        <w:jc w:val="center"/>
        <w:rPr>
          <w:rFonts w:ascii="黑体" w:hAnsi="黑体" w:eastAsia="黑体"/>
          <w:bCs/>
          <w:sz w:val="52"/>
        </w:rPr>
      </w:pPr>
      <w:r>
        <w:rPr>
          <w:rFonts w:ascii="黑体" w:hAnsi="黑体" w:eastAsia="黑体"/>
          <w:bCs/>
          <w:sz w:val="32"/>
          <w:szCs w:val="32"/>
        </w:rPr>
        <w:t>201</w:t>
      </w:r>
      <w:r>
        <w:rPr>
          <w:rFonts w:hint="eastAsia" w:ascii="黑体" w:hAnsi="黑体" w:eastAsia="黑体"/>
          <w:bCs/>
          <w:sz w:val="32"/>
          <w:szCs w:val="32"/>
        </w:rPr>
        <w:t>9年7月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说　　明</w:t>
      </w:r>
    </w:p>
    <w:p>
      <w:pPr>
        <w:widowControl/>
        <w:spacing w:line="580" w:lineRule="exact"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360" w:lineRule="auto"/>
        <w:ind w:right="155" w:rightChars="74" w:firstLine="720" w:firstLineChars="200"/>
        <w:rPr>
          <w:rFonts w:ascii="仿宋_GB2312" w:eastAsia="仿宋_GB2312"/>
          <w:bCs/>
          <w:caps/>
          <w:sz w:val="36"/>
          <w:szCs w:val="36"/>
        </w:rPr>
      </w:pPr>
      <w:r>
        <w:rPr>
          <w:rFonts w:hint="eastAsia" w:ascii="仿宋_GB2312" w:eastAsia="仿宋_GB2312"/>
          <w:bCs/>
          <w:caps/>
          <w:sz w:val="36"/>
          <w:szCs w:val="36"/>
        </w:rPr>
        <w:t>本报告所用数据来源于《药品监督管理统计报表制度》，除特殊说明外，数据报告期为2019年4月1日至2019年6月3</w:t>
      </w:r>
      <w:r>
        <w:rPr>
          <w:rFonts w:hint="default" w:ascii="仿宋_GB2312" w:eastAsia="仿宋_GB2312"/>
          <w:bCs/>
          <w:caps/>
          <w:sz w:val="36"/>
          <w:szCs w:val="36"/>
          <w:lang w:val="en"/>
        </w:rPr>
        <w:t>0</w:t>
      </w:r>
      <w:bookmarkStart w:id="17" w:name="_GoBack"/>
      <w:bookmarkEnd w:id="17"/>
      <w:r>
        <w:rPr>
          <w:rFonts w:hint="eastAsia" w:ascii="仿宋_GB2312" w:eastAsia="仿宋_GB2312"/>
          <w:bCs/>
          <w:caps/>
          <w:sz w:val="36"/>
          <w:szCs w:val="36"/>
        </w:rPr>
        <w:t>日。报告分别对药品、医疗器械、化妆品的相关行政受理、审批、监管等情况进行了汇总分析，供药品监管系统参考使用。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目　　录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5"/>
        <w:tabs>
          <w:tab w:val="right" w:leader="dot" w:pos="8085"/>
          <w:tab w:val="clear" w:pos="567"/>
          <w:tab w:val="clear" w:pos="8301"/>
        </w:tabs>
        <w:spacing w:before="0" w:after="0" w:line="560" w:lineRule="exact"/>
      </w:pPr>
      <w:r>
        <w:fldChar w:fldCharType="begin"/>
      </w:r>
      <w:r>
        <w:instrText xml:space="preserve"> HYPERLINK \l "_Toc13079" </w:instrText>
      </w:r>
      <w:r>
        <w:fldChar w:fldCharType="separate"/>
      </w:r>
      <w:r>
        <w:rPr>
          <w:rFonts w:hint="eastAsia"/>
        </w:rPr>
        <w:t>一</w:t>
      </w:r>
      <w:r>
        <w:t xml:space="preserve">、 </w:t>
      </w:r>
      <w:r>
        <w:rPr>
          <w:rFonts w:hint="eastAsia"/>
        </w:rPr>
        <w:t>药品监督管理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"_Toc16554"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一</w:t>
      </w:r>
      <w:r>
        <w:rPr>
          <w:szCs w:val="28"/>
        </w:rPr>
        <w:t xml:space="preserve">) </w:t>
      </w:r>
      <w:r>
        <w:rPr>
          <w:rFonts w:hint="eastAsia"/>
          <w:szCs w:val="28"/>
        </w:rPr>
        <w:t>药品生产企业日常监管情况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"_Toc23016"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二</w:t>
      </w:r>
      <w:r>
        <w:rPr>
          <w:szCs w:val="28"/>
        </w:rPr>
        <w:t xml:space="preserve">) </w:t>
      </w:r>
      <w:r>
        <w:rPr>
          <w:rFonts w:hint="eastAsia"/>
          <w:szCs w:val="28"/>
        </w:rPr>
        <w:t>药品经营企业日常监管情况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"_Toc18478"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三</w:t>
      </w:r>
      <w:r>
        <w:rPr>
          <w:szCs w:val="28"/>
        </w:rPr>
        <w:t xml:space="preserve">) </w:t>
      </w:r>
      <w:r>
        <w:rPr>
          <w:rFonts w:hint="eastAsia"/>
          <w:szCs w:val="28"/>
        </w:rPr>
        <w:t>药品投诉举报情况</w:t>
      </w:r>
      <w:r>
        <w:tab/>
      </w:r>
      <w:r>
        <w:fldChar w:fldCharType="end"/>
      </w:r>
      <w:r>
        <w:rPr>
          <w:rFonts w:hint="eastAsia"/>
        </w:rPr>
        <w:t>2</w:t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"_Toc20301"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四</w:t>
      </w:r>
      <w:r>
        <w:rPr>
          <w:szCs w:val="28"/>
        </w:rPr>
        <w:t xml:space="preserve">) </w:t>
      </w:r>
      <w:r>
        <w:rPr>
          <w:rFonts w:hint="eastAsia" w:ascii="楷体_GB2312" w:hAnsi="宋体" w:cs="宋体"/>
          <w:sz w:val="32"/>
          <w:szCs w:val="32"/>
        </w:rPr>
        <w:t>违法</w:t>
      </w:r>
      <w:r>
        <w:rPr>
          <w:rFonts w:hint="eastAsia"/>
          <w:szCs w:val="28"/>
        </w:rPr>
        <w:t>药品案件查处情况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085"/>
          <w:tab w:val="clear" w:pos="567"/>
          <w:tab w:val="clear" w:pos="8301"/>
        </w:tabs>
        <w:spacing w:before="0" w:after="0" w:line="560" w:lineRule="exact"/>
      </w:pPr>
      <w:r>
        <w:fldChar w:fldCharType="begin"/>
      </w:r>
      <w:r>
        <w:instrText xml:space="preserve"> HYPERLINK \l "_Toc1097" </w:instrText>
      </w:r>
      <w:r>
        <w:fldChar w:fldCharType="separate"/>
      </w:r>
      <w:r>
        <w:rPr>
          <w:rFonts w:hint="eastAsia"/>
        </w:rPr>
        <w:t>二</w:t>
      </w:r>
      <w:r>
        <w:t xml:space="preserve">、 </w:t>
      </w:r>
      <w:r>
        <w:rPr>
          <w:rFonts w:hint="eastAsia"/>
        </w:rPr>
        <w:t>医疗器械监督管理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"_Toc25063"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一</w:t>
      </w:r>
      <w:r>
        <w:rPr>
          <w:szCs w:val="28"/>
        </w:rPr>
        <w:t xml:space="preserve">) </w:t>
      </w:r>
      <w:r>
        <w:rPr>
          <w:rFonts w:hint="eastAsia"/>
          <w:szCs w:val="28"/>
        </w:rPr>
        <w:t>医疗器械生产企业基本情况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"_Toc9932"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二</w:t>
      </w:r>
      <w:r>
        <w:rPr>
          <w:szCs w:val="28"/>
        </w:rPr>
        <w:t xml:space="preserve">) </w:t>
      </w:r>
      <w:r>
        <w:rPr>
          <w:rFonts w:hint="eastAsia"/>
          <w:szCs w:val="28"/>
        </w:rPr>
        <w:t>医疗器械经营企业基本情况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"_Toc6927"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三</w:t>
      </w:r>
      <w:r>
        <w:rPr>
          <w:szCs w:val="28"/>
        </w:rPr>
        <w:t xml:space="preserve">) </w:t>
      </w:r>
      <w:r>
        <w:rPr>
          <w:rFonts w:hint="eastAsia"/>
          <w:szCs w:val="28"/>
        </w:rPr>
        <w:t>医疗器械生产企业日常监管情况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"_Toc18401" </w:instrText>
      </w:r>
      <w:r>
        <w:fldChar w:fldCharType="separate"/>
      </w:r>
      <w:r>
        <w:rPr>
          <w:szCs w:val="28"/>
        </w:rPr>
        <w:t>(</w:t>
      </w:r>
      <w:r>
        <w:rPr>
          <w:rFonts w:hint="eastAsia"/>
          <w:szCs w:val="28"/>
        </w:rPr>
        <w:t>四</w:t>
      </w:r>
      <w:r>
        <w:rPr>
          <w:szCs w:val="28"/>
        </w:rPr>
        <w:t xml:space="preserve">) </w:t>
      </w:r>
      <w:r>
        <w:rPr>
          <w:rFonts w:hint="eastAsia"/>
          <w:szCs w:val="28"/>
        </w:rPr>
        <w:t>医疗器械经营企业日常监管情况</w:t>
      </w:r>
      <w:r>
        <w:tab/>
      </w:r>
      <w:r>
        <w:rPr>
          <w:rFonts w:hint="eastAsia"/>
        </w:rPr>
        <w:t>5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t>(</w:t>
      </w:r>
      <w:r>
        <w:rPr>
          <w:rFonts w:hint="eastAsia"/>
        </w:rPr>
        <w:t>五</w:t>
      </w:r>
      <w:r>
        <w:t xml:space="preserve">) </w:t>
      </w:r>
      <w:r>
        <w:rPr>
          <w:rFonts w:hint="eastAsia"/>
        </w:rPr>
        <w:t>医疗器械产品审批情况</w:t>
      </w:r>
      <w:r>
        <w:tab/>
      </w:r>
      <w:r>
        <w:rPr>
          <w:rFonts w:hint="eastAsia"/>
        </w:rPr>
        <w:t>5</w:t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"_Toc27980" </w:instrText>
      </w:r>
      <w:r>
        <w:fldChar w:fldCharType="separate"/>
      </w:r>
      <w:r>
        <w:rPr>
          <w:szCs w:val="28"/>
        </w:rPr>
        <w:t xml:space="preserve">(六) </w:t>
      </w:r>
      <w:r>
        <w:rPr>
          <w:rFonts w:hint="eastAsia"/>
          <w:szCs w:val="28"/>
        </w:rPr>
        <w:t>医疗器械投诉举报情况</w:t>
      </w:r>
      <w:r>
        <w:tab/>
      </w:r>
      <w:r>
        <w:rPr>
          <w:rFonts w:hint="eastAsia"/>
        </w:rPr>
        <w:t>6</w:t>
      </w:r>
      <w:r>
        <w:rPr>
          <w:rFonts w:hint="eastAsia"/>
        </w:rPr>
        <w:fldChar w:fldCharType="end"/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"_Toc24407" </w:instrText>
      </w:r>
      <w:r>
        <w:fldChar w:fldCharType="separate"/>
      </w:r>
      <w:r>
        <w:rPr>
          <w:szCs w:val="28"/>
        </w:rPr>
        <w:t xml:space="preserve">(七) </w:t>
      </w:r>
      <w:r>
        <w:rPr>
          <w:rFonts w:hint="eastAsia" w:ascii="楷体_GB2312" w:hAnsi="宋体" w:cs="宋体"/>
          <w:sz w:val="32"/>
          <w:szCs w:val="32"/>
        </w:rPr>
        <w:t>违法</w:t>
      </w:r>
      <w:r>
        <w:rPr>
          <w:rFonts w:hint="eastAsia"/>
          <w:szCs w:val="28"/>
        </w:rPr>
        <w:t>医疗器械案件查处情况</w:t>
      </w:r>
      <w:r>
        <w:tab/>
      </w:r>
      <w:r>
        <w:rPr>
          <w:rFonts w:hint="eastAsia"/>
        </w:rPr>
        <w:t>6</w:t>
      </w:r>
      <w:r>
        <w:rPr>
          <w:rFonts w:hint="eastAsia"/>
        </w:rPr>
        <w:fldChar w:fldCharType="end"/>
      </w:r>
    </w:p>
    <w:p>
      <w:pPr>
        <w:pStyle w:val="5"/>
        <w:tabs>
          <w:tab w:val="right" w:leader="dot" w:pos="8085"/>
          <w:tab w:val="clear" w:pos="567"/>
          <w:tab w:val="clear" w:pos="8301"/>
        </w:tabs>
        <w:spacing w:before="0" w:after="0" w:line="560" w:lineRule="exact"/>
      </w:pPr>
      <w:r>
        <w:fldChar w:fldCharType="begin"/>
      </w:r>
      <w:r>
        <w:instrText xml:space="preserve"> HYPERLINK \l "_Toc28798" </w:instrText>
      </w:r>
      <w:r>
        <w:fldChar w:fldCharType="separate"/>
      </w:r>
      <w:r>
        <w:rPr>
          <w:rFonts w:hint="eastAsia"/>
        </w:rPr>
        <w:t>三</w:t>
      </w:r>
      <w:r>
        <w:t xml:space="preserve">、 </w:t>
      </w:r>
      <w:r>
        <w:rPr>
          <w:rFonts w:hint="eastAsia"/>
        </w:rPr>
        <w:t>化妆品监督管理</w:t>
      </w:r>
      <w:r>
        <w:tab/>
      </w:r>
      <w:r>
        <w:fldChar w:fldCharType="end"/>
      </w:r>
      <w:r>
        <w:rPr>
          <w:rFonts w:hint="eastAsia"/>
        </w:rPr>
        <w:t>6</w:t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"_Toc7333" </w:instrText>
      </w:r>
      <w:r>
        <w:fldChar w:fldCharType="separate"/>
      </w:r>
      <w:r>
        <w:rPr>
          <w:szCs w:val="28"/>
        </w:rPr>
        <w:t xml:space="preserve">(一) </w:t>
      </w:r>
      <w:r>
        <w:rPr>
          <w:rFonts w:hint="eastAsia"/>
          <w:szCs w:val="28"/>
        </w:rPr>
        <w:t>化妆品生产企业日常监管情况</w:t>
      </w:r>
      <w:r>
        <w:tab/>
      </w:r>
      <w:r>
        <w:fldChar w:fldCharType="end"/>
      </w:r>
      <w:r>
        <w:rPr>
          <w:rFonts w:hint="eastAsia"/>
        </w:rPr>
        <w:t>6</w:t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"_Toc30987" </w:instrText>
      </w:r>
      <w:r>
        <w:fldChar w:fldCharType="separate"/>
      </w:r>
      <w:r>
        <w:rPr>
          <w:szCs w:val="28"/>
        </w:rPr>
        <w:t xml:space="preserve">(二) </w:t>
      </w:r>
      <w:r>
        <w:rPr>
          <w:rFonts w:hint="eastAsia"/>
          <w:szCs w:val="28"/>
        </w:rPr>
        <w:t>化妆品投诉举报情况</w:t>
      </w:r>
      <w:r>
        <w:tab/>
      </w:r>
      <w:r>
        <w:fldChar w:fldCharType="end"/>
      </w:r>
      <w:r>
        <w:rPr>
          <w:rFonts w:hint="eastAsia"/>
        </w:rPr>
        <w:t>7</w:t>
      </w:r>
    </w:p>
    <w:p>
      <w:pPr>
        <w:pStyle w:val="7"/>
        <w:tabs>
          <w:tab w:val="right" w:leader="dot" w:pos="8085"/>
        </w:tabs>
        <w:spacing w:line="560" w:lineRule="exact"/>
      </w:pPr>
      <w:r>
        <w:fldChar w:fldCharType="begin"/>
      </w:r>
      <w:r>
        <w:instrText xml:space="preserve"> HYPERLINK \l "_Toc567" </w:instrText>
      </w:r>
      <w:r>
        <w:fldChar w:fldCharType="separate"/>
      </w:r>
      <w:r>
        <w:rPr>
          <w:szCs w:val="28"/>
        </w:rPr>
        <w:t xml:space="preserve">(三) </w:t>
      </w:r>
      <w:r>
        <w:rPr>
          <w:rFonts w:hint="eastAsia" w:ascii="楷体_GB2312" w:hAnsi="宋体" w:cs="宋体"/>
          <w:sz w:val="32"/>
          <w:szCs w:val="32"/>
        </w:rPr>
        <w:t>违法</w:t>
      </w:r>
      <w:r>
        <w:rPr>
          <w:rFonts w:hint="eastAsia"/>
          <w:szCs w:val="28"/>
        </w:rPr>
        <w:t>化妆品案件查处情况</w:t>
      </w:r>
      <w:r>
        <w:tab/>
      </w:r>
      <w:r>
        <w:rPr>
          <w:rFonts w:hint="eastAsia"/>
        </w:rPr>
        <w:t>8</w:t>
      </w:r>
      <w:r>
        <w:rPr>
          <w:rFonts w:hint="eastAsia"/>
        </w:rPr>
        <w:fldChar w:fldCharType="end"/>
      </w: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jc w:val="left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附表1：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药品生产日常监管情况………………………………9</w:t>
      </w:r>
    </w:p>
    <w:p>
      <w:pPr>
        <w:widowControl/>
        <w:ind w:right="155" w:rightChars="74"/>
        <w:jc w:val="left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附表2：药品经营日常监管情况………………………………10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附表3：投诉举报情况…………………………………………11</w:t>
      </w:r>
    </w:p>
    <w:p>
      <w:pPr>
        <w:widowControl/>
        <w:jc w:val="left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附表4：违法药品案件查处情况………………………………12</w:t>
      </w:r>
    </w:p>
    <w:p>
      <w:pPr>
        <w:widowControl/>
        <w:ind w:right="155" w:rightChars="74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附表5：医疗器械生产企业许可及备案况……………………14</w:t>
      </w:r>
    </w:p>
    <w:p>
      <w:pPr>
        <w:widowControl/>
        <w:ind w:right="155" w:rightChars="74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附表6：医疗器械经营企业许可、备案况……………………15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附表7：</w:t>
      </w: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医疗器械生产日常监管情况…………………………16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附表8：</w:t>
      </w: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医疗器械经营企业日常监管情况……………………17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附表9：</w:t>
      </w:r>
      <w:r>
        <w:rPr>
          <w:rFonts w:hint="eastAsia" w:ascii="Microsoft Yahei" w:hAnsi="Microsoft Yahei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医疗器械审批情况……………………………………18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附表10：违法医疗器械案件查处情况…………………………19</w:t>
      </w:r>
    </w:p>
    <w:p>
      <w:pPr>
        <w:widowControl/>
        <w:ind w:right="155" w:rightChars="74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附表11：化妆品生产企业日常监管情况………………………21</w:t>
      </w:r>
    </w:p>
    <w:p>
      <w:pPr>
        <w:widowControl/>
        <w:jc w:val="left"/>
        <w:textAlignment w:val="top"/>
        <w:rPr>
          <w:rFonts w:hint="eastAsia" w:ascii="仿宋_GB2312" w:hAnsi="Microsoft Yahei" w:eastAsia="仿宋_GB2312" w:cs="宋体"/>
          <w:kern w:val="0"/>
          <w:sz w:val="32"/>
          <w:szCs w:val="32"/>
        </w:rPr>
      </w:pPr>
      <w:r>
        <w:rPr>
          <w:rFonts w:hint="eastAsia" w:ascii="仿宋_GB2312" w:hAnsi="Microsoft Yahei" w:eastAsia="仿宋_GB2312" w:cs="宋体"/>
          <w:kern w:val="0"/>
          <w:sz w:val="32"/>
          <w:szCs w:val="32"/>
        </w:rPr>
        <w:t>附表12：违法化妆品案件查处情况………………………………22</w:t>
      </w:r>
    </w:p>
    <w:p>
      <w:pPr>
        <w:widowControl/>
        <w:ind w:right="155" w:rightChars="74"/>
        <w:rPr>
          <w:rFonts w:ascii="仿宋_GB2312" w:eastAsia="仿宋_GB2312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ind w:right="155" w:rightChars="74"/>
        <w:rPr>
          <w:rFonts w:ascii="方正小标宋简体" w:eastAsia="方正小标宋简体"/>
          <w:bCs/>
          <w:sz w:val="44"/>
          <w:szCs w:val="44"/>
        </w:rPr>
        <w:sectPr>
          <w:footerReference r:id="rId3" w:type="default"/>
          <w:pgSz w:w="11906" w:h="16838"/>
          <w:pgMar w:top="2098" w:right="1418" w:bottom="1701" w:left="1588" w:header="851" w:footer="992" w:gutter="0"/>
          <w:pgNumType w:fmt="numberInDash" w:start="0"/>
          <w:cols w:space="425" w:num="1"/>
          <w:docGrid w:type="lines" w:linePitch="312" w:charSpace="0"/>
        </w:sectPr>
      </w:pPr>
    </w:p>
    <w:p>
      <w:pPr>
        <w:pStyle w:val="12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bookmarkStart w:id="0" w:name="_Toc13079"/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药品监督管理</w:t>
      </w:r>
      <w:bookmarkEnd w:id="0"/>
      <w:bookmarkStart w:id="1" w:name="_Toc16554"/>
    </w:p>
    <w:p>
      <w:pPr>
        <w:spacing w:line="56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（一）药品生产企业日常监管情况</w:t>
      </w:r>
      <w:bookmarkEnd w:id="1"/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2019年第二季度全省各级监管机构共检查药品生产企业78家次（其中含基本药物的生产企业31家，含血液制品、注射剂等高风险品种的生产企业27家），责令整改的生产企业1家次，出动检查人次255次。详见附表1。</w:t>
      </w:r>
    </w:p>
    <w:p>
      <w:pPr>
        <w:spacing w:line="56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2" w:name="_Toc23016"/>
      <w:r>
        <w:rPr>
          <w:rFonts w:hint="eastAsia" w:ascii="楷体_GB2312" w:hAnsi="宋体" w:eastAsia="楷体_GB2312" w:cs="宋体"/>
          <w:sz w:val="32"/>
          <w:szCs w:val="32"/>
        </w:rPr>
        <w:t>（二）药品经营企业日常监管情况</w:t>
      </w:r>
      <w:bookmarkEnd w:id="2"/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各级监管机构共检查批发企业185家次，存在违法违规的经营企业4家，未遵守GSP有4家，非法渠道购进药品1家，完成整改的经营企业87家，撤销GSP证书2张。各级监管机构共检查零售企业6188家，存在违法违规的经营企业841家，未遵守GSP377家，未遵守GSP关于执业药师配备使用要求81家，涉及劣药17家，无照经营2家，非法渠道购进药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品5家，其他类453家，完成整改的经营企业751家。详见附表2。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drawing>
          <wp:inline distT="0" distB="0" distL="0" distR="0">
            <wp:extent cx="5305425" cy="3209925"/>
            <wp:effectExtent l="19050" t="0" r="28574" b="9524"/>
            <wp:docPr id="15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line="580" w:lineRule="exact"/>
        <w:ind w:firstLine="601"/>
        <w:rPr>
          <w:rFonts w:ascii="楷体_GB2312" w:hAnsi="宋体" w:eastAsia="楷体_GB2312" w:cs="宋体"/>
          <w:sz w:val="32"/>
          <w:szCs w:val="32"/>
        </w:rPr>
      </w:pPr>
      <w:bookmarkStart w:id="3" w:name="_Toc18478"/>
      <w:r>
        <w:rPr>
          <w:rFonts w:hint="eastAsia" w:ascii="楷体_GB2312" w:hAnsi="宋体" w:eastAsia="楷体_GB2312" w:cs="宋体"/>
          <w:sz w:val="32"/>
          <w:szCs w:val="32"/>
        </w:rPr>
        <w:t>（三）药品投诉举报情况</w:t>
      </w:r>
      <w:bookmarkEnd w:id="3"/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2019年第二季度全省各级监管机构共接收药品投诉举报517件，受理投诉举报环节263件，立案9件，结案8件，移交其他部门1件。</w:t>
      </w:r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投诉举报信息接收渠道中，电话投诉470件，网络投诉3件，信件投诉10件，走访14件，其他20件。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drawing>
          <wp:inline distT="0" distB="0" distL="0" distR="0">
            <wp:extent cx="4858385" cy="3514725"/>
            <wp:effectExtent l="19050" t="0" r="17822" b="9154"/>
            <wp:docPr id="8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接收投诉举报信息分类中，咨询279件，意见建议2件。</w:t>
      </w:r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受理投诉举报环节中，生产环节7个，流通环节223个，消费/使用环节22个，其他环节11个。详见附表3。</w:t>
      </w:r>
    </w:p>
    <w:p>
      <w:pPr>
        <w:spacing w:line="580" w:lineRule="exact"/>
        <w:ind w:firstLine="640" w:firstLineChars="200"/>
        <w:rPr>
          <w:rFonts w:ascii="楷体_GB2312" w:hAnsi="宋体" w:eastAsia="楷体_GB2312" w:cs="宋体"/>
          <w:sz w:val="32"/>
          <w:szCs w:val="32"/>
        </w:rPr>
      </w:pPr>
      <w:bookmarkStart w:id="4" w:name="_Toc20301"/>
      <w:r>
        <w:rPr>
          <w:rFonts w:hint="eastAsia" w:ascii="楷体_GB2312" w:hAnsi="宋体" w:eastAsia="楷体_GB2312" w:cs="宋体"/>
          <w:sz w:val="32"/>
          <w:szCs w:val="32"/>
        </w:rPr>
        <w:t>（四）违法药品案件查处情况</w:t>
      </w:r>
      <w:bookmarkEnd w:id="4"/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2019年第二季度全省共查处药品案件287件，查处药品案件货值金额18.8万元，罚款46.97万元，没收违法所得金额4.29万元，责令停产停业6户，移送司法机关3件，行政处罚案件信息31件，符合公开条件的行政处罚33件。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从案件来源来看，来源于投诉举报17件，来源于监督抽验6件，来源于执法检验2件，日常监管和专项检查251件，其他部门通报3件，其他8件。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drawing>
          <wp:inline distT="0" distB="0" distL="0" distR="0">
            <wp:extent cx="4908550" cy="3194050"/>
            <wp:effectExtent l="19050" t="0" r="25120" b="5937"/>
            <wp:docPr id="31" name="图表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从货值金额划分来看，5万元以下的案件有285件，5万-20万元之间的案件2件。</w:t>
      </w:r>
    </w:p>
    <w:p>
      <w:pPr>
        <w:spacing w:line="58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从违法主体来划分，违法主体是生产企业的2件，违法主体是经营企业的242件，违法主体是医疗机构的38件，其他5件。</w:t>
      </w:r>
      <w:bookmarkStart w:id="5" w:name="_Toc1097"/>
      <w:r>
        <w:rPr>
          <w:rFonts w:hint="eastAsia" w:ascii="仿宋_GB2312" w:hAnsi="宋体" w:eastAsia="仿宋_GB2312" w:cs="宋体"/>
          <w:sz w:val="32"/>
          <w:szCs w:val="32"/>
        </w:rPr>
        <w:t>详见附表4。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二、医疗器械监督管理</w:t>
      </w:r>
      <w:bookmarkEnd w:id="5"/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6" w:name="_Toc25063"/>
      <w:r>
        <w:rPr>
          <w:rFonts w:hint="eastAsia" w:ascii="楷体_GB2312" w:hAnsi="宋体" w:eastAsia="楷体_GB2312" w:cs="宋体"/>
          <w:sz w:val="32"/>
          <w:szCs w:val="32"/>
        </w:rPr>
        <w:t>（一）医疗器械生产企业基本情况</w:t>
      </w:r>
      <w:bookmarkEnd w:id="6"/>
    </w:p>
    <w:p>
      <w:pPr>
        <w:spacing w:line="580" w:lineRule="exact"/>
        <w:ind w:firstLine="53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截止2019年第二季度，全省实有医疗器械生产企业156家，其中：可生产一类产品的企业14家，可生产二类产品的企业136家，可生产三类产品的企业8家。</w:t>
      </w:r>
    </w:p>
    <w:p>
      <w:pPr>
        <w:spacing w:line="580" w:lineRule="exact"/>
        <w:ind w:firstLine="53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分类分级监管情况:一级监管生产企业数量3家，二级监管生产企业数量125家，三级监管生产企业数量14家，四级监管生产企业数量5家。</w:t>
      </w:r>
    </w:p>
    <w:p>
      <w:pPr>
        <w:spacing w:line="580" w:lineRule="exact"/>
        <w:ind w:firstLine="53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医疗器械生产企业许可情况: 本期新增7件，本期变更6件，本期延续3件,期末实有144件。</w:t>
      </w:r>
    </w:p>
    <w:p>
      <w:pPr>
        <w:spacing w:line="580" w:lineRule="exact"/>
        <w:ind w:firstLine="53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医疗器械生产企业备案情况: 本期新增1件，期末实有32件。</w:t>
      </w:r>
      <w:bookmarkStart w:id="7" w:name="_Toc9932"/>
      <w:r>
        <w:rPr>
          <w:rFonts w:hint="eastAsia" w:ascii="仿宋_GB2312" w:hAnsi="宋体" w:eastAsia="仿宋_GB2312" w:cs="宋体"/>
          <w:sz w:val="32"/>
          <w:szCs w:val="32"/>
        </w:rPr>
        <w:t>详见附表5。</w:t>
      </w:r>
    </w:p>
    <w:p>
      <w:pPr>
        <w:spacing w:line="580" w:lineRule="exact"/>
        <w:ind w:firstLine="538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（二）医疗器械经营企业基本情况</w:t>
      </w:r>
      <w:bookmarkEnd w:id="7"/>
    </w:p>
    <w:p>
      <w:pPr>
        <w:spacing w:line="580" w:lineRule="exact"/>
        <w:ind w:firstLine="538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截止2019年第二季度，全省从事第二、三类医疗器械经营的企业4458家。其中，仅从事第二类医疗器械经营的企业1320家，仅从事第三类医疗器械经营的企业506家，同时从事第二、三类医疗器械经营的企业2632家。</w:t>
      </w:r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许可情况：本期新增281件，本期变更91件，本期延续9件，本期注销6件，期末实有3138件。详见附表6。</w:t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8" w:name="_Toc6927"/>
      <w:r>
        <w:rPr>
          <w:rFonts w:hint="eastAsia" w:ascii="楷体_GB2312" w:hAnsi="宋体" w:eastAsia="楷体_GB2312" w:cs="宋体"/>
          <w:sz w:val="32"/>
          <w:szCs w:val="32"/>
        </w:rPr>
        <w:t>（三）医疗器械生产企业日常监管情况</w:t>
      </w:r>
      <w:bookmarkEnd w:id="8"/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各级监管机构共检查医疗器械生产企业95家次（其中含一类医疗器械产品的生产企业37家次，含二类医疗器械产品的生产企业有35家次，含三类医疗器械产品的生产企业27家次），检查重点企业11家次，全面检查高风险企业无菌医疗器械生产企业13家次，停产整顿1家次，存在违法违规的生产企业1家次，完成整改的生产企业有18家次。详见附表20。详见附表7。</w:t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9" w:name="_Toc18401"/>
      <w:r>
        <w:rPr>
          <w:rFonts w:hint="eastAsia" w:ascii="楷体_GB2312" w:hAnsi="宋体" w:eastAsia="楷体_GB2312" w:cs="宋体"/>
          <w:sz w:val="32"/>
          <w:szCs w:val="32"/>
        </w:rPr>
        <w:t>（四）医疗器械经营企业日常监管情况</w:t>
      </w:r>
      <w:bookmarkEnd w:id="9"/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2019年第二季度全省各级监管机构共检查医疗器械经营企业3021家次，发现存在违规行为的企业或单位176家次，完成整改218家次，移交稽查部门立案查处1件。</w:t>
      </w:r>
    </w:p>
    <w:p>
      <w:pPr>
        <w:spacing w:line="58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全省各级监管机构共检查使用单位2256家次，发现存在违规行为的企业或单位91家次，完成整改135家次，移交稽查部门立案查处4件。详见附表8。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drawing>
          <wp:inline distT="0" distB="0" distL="0" distR="0">
            <wp:extent cx="4410075" cy="3114675"/>
            <wp:effectExtent l="19050" t="0" r="27949" b="9245"/>
            <wp:docPr id="33" name="图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0" w:name="_Toc1467"/>
      <w:bookmarkStart w:id="11" w:name="_Toc27980"/>
      <w:r>
        <w:rPr>
          <w:rFonts w:hint="eastAsia" w:ascii="楷体_GB2312" w:hAnsi="宋体" w:eastAsia="楷体_GB2312" w:cs="宋体"/>
          <w:sz w:val="32"/>
          <w:szCs w:val="32"/>
        </w:rPr>
        <w:t>（五）医疗器械产品审批情况</w:t>
      </w:r>
      <w:bookmarkEnd w:id="10"/>
    </w:p>
    <w:p>
      <w:pPr>
        <w:pStyle w:val="6"/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2019年第二季度，全省境内第一类医疗器械备案5件，期末实有62件。批准境内第二类医疗器械首次注册26件、延续注册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10件、许可事项变更1件，登记事项变更受理32件。详见附表9。</w:t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（六）医疗器械投诉举报情况</w:t>
      </w:r>
      <w:bookmarkEnd w:id="11"/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2019年第二季度全省各级监管机构共受理医疗器械投诉举报68件，受理投诉举报环节34件，立案1件，结案1件。</w:t>
      </w:r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投诉举报信息接收渠道中，电话投诉56件，网络投诉2件，信件投诉4件，走访2件，其他4件。</w:t>
      </w:r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接收投诉举报信息分类中，咨询有34件。</w:t>
      </w:r>
    </w:p>
    <w:p>
      <w:pPr>
        <w:spacing w:line="56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受理投诉举报环节中，生产环节1个，流通环节25个，消费/使用环节6个，其他环节2个。详见附表3。</w:t>
      </w:r>
    </w:p>
    <w:p>
      <w:pPr>
        <w:spacing w:line="56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2" w:name="_Toc24407"/>
      <w:r>
        <w:rPr>
          <w:rFonts w:hint="eastAsia" w:ascii="楷体_GB2312" w:hAnsi="宋体" w:eastAsia="楷体_GB2312" w:cs="宋体"/>
          <w:sz w:val="32"/>
          <w:szCs w:val="32"/>
        </w:rPr>
        <w:t>（七）违法医疗器械案件查处情况</w:t>
      </w:r>
      <w:bookmarkEnd w:id="12"/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2019年第二季度全省共查处医疗器械案件130件，货值金额169.12万元，罚款金额32.14万元，行政处罚案件信息公开14件，符合公开条件的行政处罚案15件。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从案件来源来看，来源于投诉举报1件，来源于执法检验1件，日常监管和专项检查26件。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从货值金额划分来看，5万元以下的案件有45件，50万-1000万元之间的案件1件。</w:t>
      </w:r>
    </w:p>
    <w:p>
      <w:pPr>
        <w:spacing w:line="56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从违法主体来划分，违法主体是经营企业的24件，违法主体是医疗机构的21件，其他1件。详见附表10。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bookmarkStart w:id="13" w:name="_Toc28798"/>
      <w:r>
        <w:rPr>
          <w:rFonts w:hint="eastAsia" w:ascii="黑体" w:hAnsi="黑体" w:eastAsia="黑体" w:cs="黑体"/>
          <w:bCs/>
          <w:sz w:val="32"/>
          <w:szCs w:val="32"/>
        </w:rPr>
        <w:t>三、化妆品监督管理</w:t>
      </w:r>
      <w:bookmarkEnd w:id="13"/>
    </w:p>
    <w:p>
      <w:pPr>
        <w:spacing w:line="56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4" w:name="_Toc7333"/>
      <w:r>
        <w:rPr>
          <w:rFonts w:hint="eastAsia" w:ascii="楷体_GB2312" w:hAnsi="宋体" w:eastAsia="楷体_GB2312" w:cs="宋体"/>
          <w:sz w:val="32"/>
          <w:szCs w:val="32"/>
        </w:rPr>
        <w:t>（一）化妆品生产企业日常监管情况</w:t>
      </w:r>
      <w:bookmarkEnd w:id="14"/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2019年第二季度各级监管机构共检查化妆品生产企业118家，出动检查人次609人次，检查化妆品品种数172种，抽验化妆品122批次，检出不合格化妆品1批次，发现生产记录缺失、不完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整4家。详见附表11。</w:t>
      </w:r>
    </w:p>
    <w:p>
      <w:pPr>
        <w:widowControl/>
        <w:spacing w:line="560" w:lineRule="exact"/>
        <w:ind w:firstLine="640" w:firstLineChars="200"/>
        <w:textAlignment w:val="top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各省（区、市）</w:t>
      </w:r>
      <w:r>
        <w:rPr>
          <w:rFonts w:hint="eastAsia" w:ascii="仿宋_GB2312" w:hAnsi="宋体" w:eastAsia="仿宋_GB2312" w:cs="宋体"/>
          <w:sz w:val="32"/>
          <w:szCs w:val="32"/>
        </w:rPr>
        <w:t>化妆</w:t>
      </w:r>
      <w:r>
        <w:rPr>
          <w:rFonts w:ascii="仿宋_GB2312" w:hAnsi="宋体" w:eastAsia="仿宋_GB2312" w:cs="宋体"/>
          <w:sz w:val="32"/>
          <w:szCs w:val="32"/>
        </w:rPr>
        <w:t>品生产企业日常监管情况</w:t>
      </w:r>
    </w:p>
    <w:p>
      <w:pPr>
        <w:spacing w:line="56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主要集中在太原市小店区，长治市本级、潞城市，晋中市榆次区、祁县，运城市本级、万荣县，临汾市浮山县，吕梁市本级、柳林县。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drawing>
          <wp:inline distT="0" distB="0" distL="0" distR="0">
            <wp:extent cx="5480050" cy="3811905"/>
            <wp:effectExtent l="19050" t="0" r="25334" b="0"/>
            <wp:docPr id="16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spacing w:line="58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5" w:name="_Toc30987"/>
      <w:r>
        <w:rPr>
          <w:rFonts w:hint="eastAsia" w:ascii="楷体_GB2312" w:hAnsi="宋体" w:eastAsia="楷体_GB2312" w:cs="宋体"/>
          <w:sz w:val="32"/>
          <w:szCs w:val="32"/>
        </w:rPr>
        <w:t>（二）化妆品投诉举报情况</w:t>
      </w:r>
      <w:bookmarkEnd w:id="15"/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2019年第二季度全省各级监管机构共受理化妆品投诉举报185件，受理投诉举报环节89件，立案2件，结案2件。</w:t>
      </w: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投诉举报信息接收渠道中，电话投诉173件，网络投诉3件，信件投诉4件，走访3件，其他2件。</w:t>
      </w:r>
    </w:p>
    <w:p>
      <w:pPr>
        <w:spacing w:line="58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接收投诉举报信息分类中，咨询有107件。</w:t>
      </w:r>
    </w:p>
    <w:p>
      <w:pPr>
        <w:spacing w:line="540" w:lineRule="exact"/>
        <w:ind w:firstLine="60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受理投诉举报环节中，流通环节51个，消费/使用环节22个，其他环节16个。详见附表3。</w:t>
      </w:r>
    </w:p>
    <w:p>
      <w:pPr>
        <w:spacing w:line="540" w:lineRule="exact"/>
        <w:ind w:firstLine="599"/>
        <w:rPr>
          <w:rFonts w:ascii="楷体_GB2312" w:hAnsi="宋体" w:eastAsia="楷体_GB2312" w:cs="宋体"/>
          <w:sz w:val="32"/>
          <w:szCs w:val="32"/>
        </w:rPr>
      </w:pPr>
      <w:bookmarkStart w:id="16" w:name="_Toc567"/>
      <w:r>
        <w:rPr>
          <w:rFonts w:hint="eastAsia" w:ascii="楷体_GB2312" w:hAnsi="宋体" w:eastAsia="楷体_GB2312" w:cs="宋体"/>
          <w:sz w:val="32"/>
          <w:szCs w:val="32"/>
        </w:rPr>
        <w:t>（三）违法化妆品案件查处情况</w:t>
      </w:r>
      <w:bookmarkEnd w:id="16"/>
    </w:p>
    <w:p>
      <w:pPr>
        <w:spacing w:line="540" w:lineRule="exact"/>
        <w:ind w:firstLine="59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2019年第二季度全省共查处化妆品案件59件，货值金额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0.7万元</w:t>
      </w:r>
      <w:r>
        <w:rPr>
          <w:rFonts w:hint="eastAsia" w:ascii="仿宋_GB2312" w:hAnsi="宋体" w:eastAsia="仿宋_GB2312" w:cs="宋体"/>
          <w:sz w:val="32"/>
          <w:szCs w:val="32"/>
        </w:rPr>
        <w:t>，罚款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4.2</w:t>
      </w:r>
      <w:r>
        <w:rPr>
          <w:rFonts w:hint="eastAsia" w:ascii="仿宋_GB2312" w:hAnsi="宋体" w:eastAsia="仿宋_GB2312" w:cs="宋体"/>
          <w:sz w:val="32"/>
          <w:szCs w:val="32"/>
        </w:rPr>
        <w:t>万元，没收违法所得金额0.4万元，责令停产停业有1户，行政处罚案件信息公开7件，符合公开条件的行政处罚案7件。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从案件来源来看，来源于投诉举报1件，来源于执法检验3件，日常监管和专项检查55件。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从货值金额划分来看，2万元以下的案件有59件。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从违法主体来划分，违法主体是经营企业的19件，违法主体是美容美发机构的40件。详见附表12。</w:t>
      </w:r>
    </w:p>
    <w:p>
      <w:pPr>
        <w:widowControl/>
        <w:spacing w:line="540" w:lineRule="exact"/>
        <w:ind w:right="155" w:rightChars="74" w:firstLine="640" w:firstLineChars="200"/>
        <w:rPr>
          <w:rFonts w:hint="eastAsia" w:ascii="仿宋_GB2312" w:hAnsi="Microsoft Yahei" w:eastAsia="仿宋_GB2312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各省（区、市）</w:t>
      </w:r>
      <w:r>
        <w:rPr>
          <w:rFonts w:hint="eastAsia" w:ascii="仿宋_GB2312" w:hAnsi="Microsoft Yahei" w:eastAsia="仿宋_GB2312"/>
          <w:sz w:val="32"/>
          <w:szCs w:val="32"/>
        </w:rPr>
        <w:t>违法化妆品案件查处情况如下：</w:t>
      </w:r>
    </w:p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drawing>
          <wp:inline distT="0" distB="0" distL="0" distR="0">
            <wp:extent cx="5521960" cy="3681095"/>
            <wp:effectExtent l="19050" t="0" r="21458" b="0"/>
            <wp:docPr id="14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  药品生产日常监管情况</w:t>
      </w:r>
    </w:p>
    <w:tbl>
      <w:tblPr>
        <w:tblStyle w:val="8"/>
        <w:tblW w:w="8802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2"/>
        <w:gridCol w:w="1066"/>
        <w:gridCol w:w="112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检查生产企业家次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其中：含基本药物的生产企业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含血液制品、注射剂等高风险品种的生产企业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出动检查人次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发现违法违规的生产企业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责令整改的生产企业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收回GMP证书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其中：在省局政务网站公开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6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移交稽查部门的生产企业</w:t>
            </w:r>
          </w:p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0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97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ind w:right="155" w:rightChars="74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附表2</w:t>
      </w:r>
    </w:p>
    <w:p>
      <w:pPr>
        <w:widowControl/>
        <w:wordWrap w:val="0"/>
        <w:jc w:val="left"/>
        <w:textAlignment w:val="top"/>
        <w:rPr>
          <w:rFonts w:hint="eastAsia" w:ascii="Microsoft Yahei" w:hAnsi="Microsoft Yahei" w:eastAsia="宋体" w:cs="宋体"/>
          <w:kern w:val="0"/>
          <w:sz w:val="23"/>
          <w:szCs w:val="23"/>
        </w:rPr>
      </w:pP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hint="eastAsia" w:ascii="Microsoft Yahei" w:hAnsi="Microsoft Yahei" w:eastAsia="宋体" w:cs="宋体"/>
          <w:b/>
          <w:kern w:val="0"/>
          <w:sz w:val="36"/>
          <w:szCs w:val="36"/>
        </w:rPr>
        <w:t xml:space="preserve">      </w:t>
      </w:r>
      <w:r>
        <w:rPr>
          <w:rFonts w:ascii="Microsoft Yahei" w:hAnsi="Microsoft Yahei" w:eastAsia="宋体" w:cs="宋体"/>
          <w:b/>
          <w:kern w:val="0"/>
          <w:sz w:val="36"/>
          <w:szCs w:val="36"/>
        </w:rPr>
        <w:t>药品经营日常监管情况</w:t>
      </w:r>
    </w:p>
    <w:tbl>
      <w:tblPr>
        <w:tblStyle w:val="8"/>
        <w:tblW w:w="922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8"/>
        <w:gridCol w:w="1315"/>
        <w:gridCol w:w="1013"/>
        <w:gridCol w:w="1215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批发企业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零售企业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检查经营企业家次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发现违法违规的经营企业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未遵守GSP 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未遵守GSP关于执业药师配备使用要求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涉及假药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涉及劣药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无照经营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非法渠道购进药品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完成整改的经营企业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撤销GSP证书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48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移交稽查部门的经营企业</w:t>
            </w:r>
          </w:p>
        </w:tc>
        <w:tc>
          <w:tcPr>
            <w:tcW w:w="12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99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9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  <w:r>
        <w:rPr>
          <w:rFonts w:ascii="Microsoft Yahei" w:hAnsi="Microsoft Yahei" w:eastAsia="宋体" w:cs="宋体"/>
          <w:kern w:val="0"/>
          <w:sz w:val="14"/>
          <w:szCs w:val="14"/>
        </w:rPr>
        <w:pict>
          <v:shape id="_x0000_i1025" o:spt="75" type="#_x0000_t75" style="height:24.7pt;width:24.7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附表3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投诉举报情况</w:t>
      </w: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tbl>
      <w:tblPr>
        <w:tblStyle w:val="8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709"/>
        <w:gridCol w:w="1275"/>
        <w:gridCol w:w="1134"/>
        <w:gridCol w:w="1134"/>
        <w:gridCol w:w="1131"/>
        <w:gridCol w:w="1421"/>
        <w:gridCol w:w="7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tblCellSpacing w:w="0" w:type="dxa"/>
        </w:trPr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药品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化妆品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医疗器械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投诉举报信息接收渠道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470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699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网络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信件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8EF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走访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其他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517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770</w:t>
            </w:r>
          </w:p>
        </w:tc>
      </w:tr>
      <w:tr>
        <w:trPr>
          <w:trHeight w:val="276" w:hRule="atLeast"/>
          <w:tblCellSpacing w:w="0" w:type="dxa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接收投诉举报信息分类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投诉举报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受理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233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不受理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咨询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279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意见建议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517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受理投诉举报环节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研制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生产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流通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223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消费/使用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其他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263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办理情况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移送其他部门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立案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结案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12</w:t>
            </w:r>
          </w:p>
        </w:tc>
      </w:tr>
      <w:tr>
        <w:trPr>
          <w:trHeight w:val="276" w:hRule="atLeast"/>
          <w:tblCellSpacing w:w="0" w:type="dxa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移交司法机关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附表4</w:t>
      </w:r>
    </w:p>
    <w:p>
      <w:pPr>
        <w:widowControl/>
        <w:jc w:val="center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违法药品案件查处情况</w:t>
      </w:r>
    </w:p>
    <w:tbl>
      <w:tblPr>
        <w:tblStyle w:val="8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310"/>
        <w:gridCol w:w="627"/>
        <w:gridCol w:w="901"/>
        <w:gridCol w:w="1174"/>
        <w:gridCol w:w="1174"/>
        <w:gridCol w:w="1174"/>
        <w:gridCol w:w="1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一般程序案件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简易程序案件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丙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案件数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案件来源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投诉举报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监督抽验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执法检验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日常监管和专项检查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136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其他部门通报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货值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5万元以下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5万－20万元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20万—50万元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50万－1000万元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1000万元—1亿元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1亿元以上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主要违法主体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经营企业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医疗机构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货值金额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18.8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罚款金额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45.6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没收违法所得金额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取缔无证经营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捣毁制假售假窝点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责令停产停业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其中：生产企业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经营企业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撤销批准文号或备案号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吊销许可证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其中：生产许可证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经营许可证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制剂许可证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送司法机关案件数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刑事判决数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刑事处罚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行政处罚案件信息公开数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符合公开条件的行政处罚案件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涉及药包材案件数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涉及药包材案件货值金额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</w:tr>
      <w:tr>
        <w:trPr>
          <w:trHeight w:val="20" w:hRule="atLeast"/>
          <w:tblCellSpacing w:w="0" w:type="dxa"/>
        </w:trPr>
        <w:tc>
          <w:tcPr>
            <w:tcW w:w="0" w:type="auto"/>
            <w:gridSpan w:val="8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案件数（件）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货值金额（万元）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罚款金额（万元）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吊销许可证（件）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移送司法机关案件数（件）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0" w:type="auto"/>
            <w:gridSpan w:val="2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生产假劣药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假药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按假药论处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劣药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按劣药论处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销售假劣药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假药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按假药论处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劣药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按劣药论处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其中：互联网销售假劣药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假药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</w:trPr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劣药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jc w:val="left"/>
        <w:rPr>
          <w:rFonts w:hint="eastAsia" w:ascii="Microsoft Yahei" w:hAnsi="Microsoft Yahei" w:eastAsia="宋体" w:cs="宋体"/>
          <w:kern w:val="0"/>
          <w:sz w:val="20"/>
          <w:szCs w:val="20"/>
        </w:rPr>
      </w:pPr>
      <w:r>
        <w:rPr>
          <w:rFonts w:ascii="Microsoft Yahei" w:hAnsi="Microsoft Yahei" w:eastAsia="宋体" w:cs="宋体"/>
          <w:kern w:val="0"/>
          <w:sz w:val="20"/>
          <w:szCs w:val="20"/>
        </w:rPr>
        <w:pict>
          <v:shape id="_x0000_i1026" o:spt="75" type="#_x0000_t75" style="height:24.7pt;width:24.7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20"/>
          <w:szCs w:val="20"/>
        </w:rPr>
      </w:pP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20"/>
          <w:szCs w:val="20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附表5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 医疗器械生产企业许可及备案情况</w:t>
      </w:r>
    </w:p>
    <w:p>
      <w:pPr>
        <w:widowControl/>
        <w:jc w:val="left"/>
        <w:rPr>
          <w:rFonts w:hint="eastAsia" w:ascii="Microsoft Yahei" w:hAnsi="Microsoft Yahei" w:eastAsia="宋体" w:cs="宋体"/>
          <w:kern w:val="0"/>
          <w:sz w:val="14"/>
          <w:szCs w:val="14"/>
        </w:rPr>
      </w:pPr>
    </w:p>
    <w:tbl>
      <w:tblPr>
        <w:tblStyle w:val="8"/>
        <w:tblW w:w="8976" w:type="dxa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04"/>
        <w:gridCol w:w="3564"/>
        <w:gridCol w:w="1315"/>
        <w:gridCol w:w="903"/>
        <w:gridCol w:w="12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0" w:type="auto"/>
            <w:gridSpan w:val="3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项目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计量单位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代码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0" w:type="auto"/>
            <w:gridSpan w:val="3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甲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乙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丙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生产企业情况</w:t>
            </w:r>
          </w:p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生产一类医疗器械产品的企业数量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01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生产二类医疗器械产品的企业数量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02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136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生产三类医疗器械产品的企业数量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03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生产企业总数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04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其中：仅无菌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05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177" w:type="dxa"/>
            <w:vMerge w:val="restart"/>
            <w:vAlign w:val="center"/>
          </w:tcPr>
          <w:p/>
        </w:tc>
        <w:tc>
          <w:tcPr>
            <w:tcW w:w="360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仅植入性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06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177" w:type="dxa"/>
            <w:vMerge w:val="continue"/>
            <w:vAlign w:val="center"/>
          </w:tcPr>
          <w:p/>
        </w:tc>
        <w:tc>
          <w:tcPr>
            <w:tcW w:w="360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  无菌/入性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07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177" w:type="dxa"/>
            <w:vMerge w:val="continue"/>
            <w:vAlign w:val="center"/>
          </w:tcPr>
          <w:p/>
        </w:tc>
        <w:tc>
          <w:tcPr>
            <w:tcW w:w="360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仅体外诊断试剂（IVD）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08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177" w:type="dxa"/>
            <w:vMerge w:val="continue"/>
            <w:vAlign w:val="center"/>
          </w:tcPr>
          <w:p/>
        </w:tc>
        <w:tc>
          <w:tcPr>
            <w:tcW w:w="360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定制式义齿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09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分类分级监管情况</w:t>
            </w:r>
          </w:p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一级监管生产企业数量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二级监管生产企业数量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三级监管生产企业数量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四级监管生产企业数量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监管企业情况</w:t>
            </w:r>
          </w:p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重点监管企业总数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177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/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其中：国家重点监管企业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177" w:type="dxa"/>
            <w:vMerge w:val="continue"/>
            <w:vAlign w:val="center"/>
          </w:tcPr>
          <w:p/>
        </w:tc>
        <w:tc>
          <w:tcPr>
            <w:tcW w:w="0" w:type="auto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省重点监管企业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许可情况</w:t>
            </w:r>
          </w:p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本期新增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本期变更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本期延续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本期补发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本期注销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期末实有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备案情况</w:t>
            </w:r>
          </w:p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本期新增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本期变更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本期补发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本期备案标注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CellSpacing w:w="0" w:type="dxa"/>
        </w:trPr>
        <w:tc>
          <w:tcPr>
            <w:tcW w:w="1756" w:type="dxa"/>
            <w:vMerge w:val="continue"/>
            <w:vAlign w:val="center"/>
          </w:tcPr>
          <w:p/>
        </w:tc>
        <w:tc>
          <w:tcPr>
            <w:tcW w:w="378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期末实有</w:t>
            </w:r>
          </w:p>
        </w:tc>
        <w:tc>
          <w:tcPr>
            <w:tcW w:w="13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件</w:t>
            </w:r>
          </w:p>
        </w:tc>
        <w:tc>
          <w:tcPr>
            <w:tcW w:w="890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23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r>
              <w:rPr>
                <w:rFonts w:hint="eastAsia"/>
              </w:rPr>
              <w:t>32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附表6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  医疗器械经营企业许可、备案情况</w:t>
      </w:r>
    </w:p>
    <w:tbl>
      <w:tblPr>
        <w:tblStyle w:val="8"/>
        <w:tblW w:w="0" w:type="auto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4779"/>
        <w:gridCol w:w="992"/>
        <w:gridCol w:w="851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992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5992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76" w:hRule="atLeast"/>
          <w:tblCellSpacing w:w="0" w:type="dxa"/>
        </w:trPr>
        <w:tc>
          <w:tcPr>
            <w:tcW w:w="1213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经营企业情况</w:t>
            </w: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仅从事第二类医疗器械经营的企业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仅从事第三类医疗器械经营的企业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同时从事第二、三类医疗器械经营的企业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2632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仅从事无菌医疗器械经营的企业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仅从事植入性医疗器械经营的企业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同时从事无菌和植入性医疗器械经营的企业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973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从事体外诊断试剂(IVD) 经营的企业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为其他医疗器械生产经营企业提供贮存、配送服务的医疗器械经营企业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许可情况</w:t>
            </w: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本期新增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281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本期变更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本期延续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本期补发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本期注销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期末实有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3138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备案情况</w:t>
            </w: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本期新增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本期变更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本期补发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本期备案标注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21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期末实有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85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附表7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 医疗器械生产日常监管情况</w:t>
      </w:r>
    </w:p>
    <w:tbl>
      <w:tblPr>
        <w:tblStyle w:val="8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3697"/>
        <w:gridCol w:w="1194"/>
        <w:gridCol w:w="850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检查生产企业家次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其中：含一类医疗器械产品的生产企业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其中：未通过检查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其中：含二类医疗器械产品的生产企业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其中：未通过检查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其中：含三类医疗器械产品的生产企业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其中：未通过检查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重点企业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国家重点监管企业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省重点监管企业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全面检查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高风险企业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含无菌医疗器械的生产企业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其中：未通过检查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含植入性医疗器械的生产企业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其中：未通过检查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第三类医疗器械的生产企业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其中：未通过检查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医疗器械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生产企业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飞行检查</w:t>
            </w: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省级及以下组织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停产整改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存在违法违规的生产企业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完成整改的生产企业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49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移交稽查部门的生产企业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附表8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 医疗器械经营</w:t>
      </w:r>
      <w:r>
        <w:rPr>
          <w:rFonts w:hint="eastAsia" w:ascii="Microsoft Yahei" w:hAnsi="Microsoft Yahei" w:eastAsia="宋体" w:cs="宋体"/>
          <w:b/>
          <w:kern w:val="0"/>
          <w:sz w:val="36"/>
          <w:szCs w:val="36"/>
        </w:rPr>
        <w:t>企业</w:t>
      </w:r>
      <w:r>
        <w:rPr>
          <w:rFonts w:ascii="Microsoft Yahei" w:hAnsi="Microsoft Yahei" w:eastAsia="宋体" w:cs="宋体"/>
          <w:b/>
          <w:kern w:val="0"/>
          <w:sz w:val="36"/>
          <w:szCs w:val="36"/>
        </w:rPr>
        <w:t>日常监管情况</w:t>
      </w:r>
    </w:p>
    <w:tbl>
      <w:tblPr>
        <w:tblStyle w:val="8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3017"/>
        <w:gridCol w:w="1588"/>
        <w:gridCol w:w="1164"/>
        <w:gridCol w:w="13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检查经营企业、使用单位家次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经营企业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省级及以下组织医疗器械经营企业飞行检查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存在违法违规的企业或单位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经营企业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完成整改的企业或单位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经营企业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移交稽查部门的企业或单位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经营企业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移交卫生部门处理的单位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附表9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 医疗器械审批情况</w:t>
      </w:r>
    </w:p>
    <w:tbl>
      <w:tblPr>
        <w:tblStyle w:val="8"/>
        <w:tblW w:w="9413" w:type="dxa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567"/>
        <w:gridCol w:w="707"/>
        <w:gridCol w:w="568"/>
        <w:gridCol w:w="567"/>
        <w:gridCol w:w="567"/>
        <w:gridCol w:w="567"/>
        <w:gridCol w:w="775"/>
        <w:gridCol w:w="676"/>
        <w:gridCol w:w="1339"/>
        <w:gridCol w:w="617"/>
        <w:gridCol w:w="8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707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本期备案</w:t>
            </w:r>
          </w:p>
        </w:tc>
        <w:tc>
          <w:tcPr>
            <w:tcW w:w="1135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首次注册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延续注册</w:t>
            </w:r>
          </w:p>
        </w:tc>
        <w:tc>
          <w:tcPr>
            <w:tcW w:w="1451" w:type="dxa"/>
            <w:gridSpan w:val="2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许可事项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变更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登记事项变更受理</w:t>
            </w:r>
          </w:p>
        </w:tc>
        <w:tc>
          <w:tcPr>
            <w:tcW w:w="617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注/撤销</w:t>
            </w:r>
          </w:p>
        </w:tc>
        <w:tc>
          <w:tcPr>
            <w:tcW w:w="865" w:type="dxa"/>
            <w:vMerge w:val="restart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本期末实有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</w:trPr>
        <w:tc>
          <w:tcPr>
            <w:tcW w:w="159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受理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批准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受理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批准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受理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批准</w:t>
            </w:r>
          </w:p>
        </w:tc>
        <w:tc>
          <w:tcPr>
            <w:tcW w:w="133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境内第一类医疗器械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进口第一类医疗器械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境内第二类医疗器械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境内第三类医疗器械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进口第二类医疗器械(不含港澳台)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港澳台第二类医疗器械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进口第三类医疗器械(不含港澳台)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港澳台第三类医疗器械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59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合    计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0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8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1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62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附表10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违法医疗器械案件查处情况</w:t>
      </w:r>
    </w:p>
    <w:tbl>
      <w:tblPr>
        <w:tblStyle w:val="8"/>
        <w:tblW w:w="8767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461"/>
        <w:gridCol w:w="657"/>
        <w:gridCol w:w="59"/>
        <w:gridCol w:w="1037"/>
        <w:gridCol w:w="716"/>
        <w:gridCol w:w="128"/>
        <w:gridCol w:w="1513"/>
        <w:gridCol w:w="426"/>
        <w:gridCol w:w="1463"/>
        <w:gridCol w:w="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　分  类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一般程序案件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简易程序案件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甲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丙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案件数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案件来源</w:t>
            </w: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投诉举报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监督抽验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执法检验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日常监管和专项检查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其他部门通报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其他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02" w:hRule="atLeast"/>
          <w:tblCellSpacing w:w="0" w:type="dxa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货值</w:t>
            </w: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5万元以下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5—20万元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20-50万元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50—1000万元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1000万元-1亿元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1亿元以上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主要违法</w:t>
            </w:r>
          </w:p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主体</w:t>
            </w: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生产企业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经营企业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医疗机构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2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其他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货值金额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169.11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罚款金额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32.14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没收违法所得金额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取缔无证经营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捣毁制假售假窝点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责令停产停业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其中：生产企业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       经营企业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撤销批准文号或备案号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吊销许可证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其中：生产许可证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      经营许可证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移送司法机关案件数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刑事判决数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刑事处罚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行政处罚案件信息公开数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3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符合公开条件的行政处罚案件</w:t>
            </w: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8741" w:type="dxa"/>
            <w:gridSpan w:val="10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附表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一般程序案件</w:t>
            </w:r>
          </w:p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（件）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简易程序案件（件）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货值金额合计</w:t>
            </w:r>
          </w:p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甲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涉及医疗器械质量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168.62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违反证照管理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违反流通秩序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其他案件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小计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169.12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" w:type="dxa"/>
          <w:trHeight w:val="402" w:hRule="atLeast"/>
          <w:tblCellSpacing w:w="0" w:type="dxa"/>
        </w:trPr>
        <w:tc>
          <w:tcPr>
            <w:tcW w:w="2742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    其中：涉及互联网</w:t>
            </w:r>
          </w:p>
        </w:tc>
        <w:tc>
          <w:tcPr>
            <w:tcW w:w="716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81" w:type="dxa"/>
            <w:gridSpan w:val="3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13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9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附表11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化妆品生产企业日常监管情况</w:t>
      </w:r>
    </w:p>
    <w:tbl>
      <w:tblPr>
        <w:tblStyle w:val="8"/>
        <w:tblW w:w="0" w:type="auto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4"/>
        <w:gridCol w:w="1567"/>
        <w:gridCol w:w="1783"/>
        <w:gridCol w:w="16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检查化妆品生产企业家数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检查化妆品生产企业次数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家次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出动检查人次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检查化妆品品种数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种次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抽验化妆品批次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检出不合格化妆品批次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发现生产记录缺失、不完整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</w:trPr>
        <w:tc>
          <w:tcPr>
            <w:tcW w:w="3784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责令停产</w:t>
            </w:r>
          </w:p>
        </w:tc>
        <w:tc>
          <w:tcPr>
            <w:tcW w:w="1537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753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611" w:type="dxa"/>
            <w:shd w:val="clear" w:color="auto" w:fill="auto"/>
            <w:noWrap/>
            <w:tcMar>
              <w:top w:w="12" w:type="dxa"/>
              <w:left w:w="23" w:type="dxa"/>
              <w:bottom w:w="12" w:type="dxa"/>
              <w:right w:w="2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widowControl/>
        <w:jc w:val="left"/>
        <w:textAlignment w:val="top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附表12</w:t>
      </w:r>
    </w:p>
    <w:p>
      <w:pPr>
        <w:widowControl/>
        <w:jc w:val="center"/>
        <w:textAlignment w:val="top"/>
        <w:rPr>
          <w:rFonts w:hint="eastAsia" w:ascii="Microsoft Yahei" w:hAnsi="Microsoft Yahei" w:eastAsia="宋体" w:cs="宋体"/>
          <w:b/>
          <w:kern w:val="0"/>
          <w:sz w:val="36"/>
          <w:szCs w:val="36"/>
        </w:rPr>
      </w:pPr>
      <w:r>
        <w:rPr>
          <w:rFonts w:ascii="Microsoft Yahei" w:hAnsi="Microsoft Yahei" w:eastAsia="宋体" w:cs="宋体"/>
          <w:b/>
          <w:kern w:val="0"/>
          <w:sz w:val="36"/>
          <w:szCs w:val="36"/>
        </w:rPr>
        <w:t>违法化妆品案件查处情况</w:t>
      </w:r>
    </w:p>
    <w:tbl>
      <w:tblPr>
        <w:tblStyle w:val="8"/>
        <w:tblW w:w="0" w:type="auto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2541"/>
        <w:gridCol w:w="1056"/>
        <w:gridCol w:w="798"/>
        <w:gridCol w:w="1536"/>
        <w:gridCol w:w="15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　分  类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一般程序案件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简易程序案件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甲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乙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丙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案件数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    其中：涉及互联网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restart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案件来源</w:t>
            </w: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投诉举报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监督抽验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执法检验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日常监管和专项检查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其他部门通报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其他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restart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货值</w:t>
            </w: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2万元以下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2—20万元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20-50万元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50—1000万元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1000万元-1亿元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1亿元以上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restart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主要违法主体</w:t>
            </w: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生产企业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经营企业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美容美发机构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1182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其他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货值金额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其中：涉及互联网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罚款金额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没收违法所得金额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捣毁制假售假窝点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生产企业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   美容美发机构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撤销批准文号或备案号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吊销许可证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移送司法机关案件数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刑事判决数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刑事处罚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行政处罚案件信息公开数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tblCellSpacing w:w="0" w:type="dxa"/>
        </w:trPr>
        <w:tc>
          <w:tcPr>
            <w:tcW w:w="3723" w:type="dxa"/>
            <w:gridSpan w:val="2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符合公开条件的行政处罚案件</w:t>
            </w:r>
          </w:p>
        </w:tc>
        <w:tc>
          <w:tcPr>
            <w:tcW w:w="105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98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6" w:type="dxa"/>
            <w:shd w:val="clear" w:color="auto" w:fill="auto"/>
            <w:noWrap/>
            <w:tcMar>
              <w:top w:w="17" w:type="dxa"/>
              <w:left w:w="33" w:type="dxa"/>
              <w:bottom w:w="17" w:type="dxa"/>
              <w:right w:w="33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</w:tbl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p>
      <w:pPr>
        <w:spacing w:line="820" w:lineRule="exact"/>
        <w:rPr>
          <w:rFonts w:ascii="方正小标宋简体" w:eastAsia="方正小标宋简体"/>
          <w:b/>
          <w:sz w:val="72"/>
          <w:szCs w:val="72"/>
        </w:rPr>
      </w:pPr>
    </w:p>
    <w:sectPr>
      <w:footerReference r:id="rId4" w:type="default"/>
      <w:footerReference r:id="rId5" w:type="even"/>
      <w:pgSz w:w="11906" w:h="16838"/>
      <w:pgMar w:top="2098" w:right="1418" w:bottom="170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5867028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23 -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5867024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EBB"/>
    <w:rsid w:val="00026B2A"/>
    <w:rsid w:val="0004474C"/>
    <w:rsid w:val="00066D47"/>
    <w:rsid w:val="00085E8A"/>
    <w:rsid w:val="00110EFB"/>
    <w:rsid w:val="00263327"/>
    <w:rsid w:val="00295846"/>
    <w:rsid w:val="00313B61"/>
    <w:rsid w:val="0036049F"/>
    <w:rsid w:val="00417434"/>
    <w:rsid w:val="004B5E3E"/>
    <w:rsid w:val="00555ACE"/>
    <w:rsid w:val="00560EBB"/>
    <w:rsid w:val="0058281A"/>
    <w:rsid w:val="0067078C"/>
    <w:rsid w:val="00685137"/>
    <w:rsid w:val="00751F8D"/>
    <w:rsid w:val="00753D5D"/>
    <w:rsid w:val="007E38FA"/>
    <w:rsid w:val="00820AFC"/>
    <w:rsid w:val="008211CB"/>
    <w:rsid w:val="0084090D"/>
    <w:rsid w:val="008675A0"/>
    <w:rsid w:val="008876B8"/>
    <w:rsid w:val="00896A87"/>
    <w:rsid w:val="008F2C0A"/>
    <w:rsid w:val="00936FB5"/>
    <w:rsid w:val="00954402"/>
    <w:rsid w:val="0096286E"/>
    <w:rsid w:val="009D2C9C"/>
    <w:rsid w:val="00A26A11"/>
    <w:rsid w:val="00A45827"/>
    <w:rsid w:val="00A771F6"/>
    <w:rsid w:val="00AE651A"/>
    <w:rsid w:val="00C1552C"/>
    <w:rsid w:val="00C1782E"/>
    <w:rsid w:val="00C47066"/>
    <w:rsid w:val="00C56E17"/>
    <w:rsid w:val="00C66810"/>
    <w:rsid w:val="00C73C1F"/>
    <w:rsid w:val="00C9345E"/>
    <w:rsid w:val="00CB6A78"/>
    <w:rsid w:val="00DA2702"/>
    <w:rsid w:val="00DA4987"/>
    <w:rsid w:val="00E67817"/>
    <w:rsid w:val="00F35FE7"/>
    <w:rsid w:val="00F8248B"/>
    <w:rsid w:val="00FB5DA3"/>
    <w:rsid w:val="00FD36E8"/>
    <w:rsid w:val="E55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567"/>
        <w:tab w:val="right" w:leader="dot" w:pos="8301"/>
      </w:tabs>
      <w:spacing w:before="120" w:after="120"/>
      <w:jc w:val="left"/>
    </w:pPr>
    <w:rPr>
      <w:rFonts w:ascii="仿宋_GB2312" w:hAnsi="Times New Roman" w:eastAsia="仿宋_GB2312" w:cs="Times New Roman"/>
      <w:b/>
      <w:bCs/>
      <w:caps/>
      <w:sz w:val="28"/>
      <w:szCs w:val="28"/>
    </w:rPr>
  </w:style>
  <w:style w:type="paragraph" w:styleId="6">
    <w:name w:val="Body Text Indent 3"/>
    <w:basedOn w:val="1"/>
    <w:link w:val="15"/>
    <w:qFormat/>
    <w:uiPriority w:val="99"/>
    <w:pPr>
      <w:spacing w:line="360" w:lineRule="auto"/>
      <w:ind w:firstLine="560"/>
    </w:pPr>
    <w:rPr>
      <w:rFonts w:eastAsia="楷体_GB2312"/>
      <w:sz w:val="16"/>
      <w:szCs w:val="16"/>
    </w:rPr>
  </w:style>
  <w:style w:type="paragraph" w:styleId="7">
    <w:name w:val="toc 2"/>
    <w:basedOn w:val="1"/>
    <w:next w:val="1"/>
    <w:qFormat/>
    <w:uiPriority w:val="39"/>
    <w:pPr>
      <w:ind w:left="300"/>
      <w:jc w:val="left"/>
    </w:pPr>
    <w:rPr>
      <w:rFonts w:ascii="Times New Roman" w:hAnsi="Times New Roman" w:eastAsia="楷体_GB2312" w:cs="Times New Roman"/>
      <w:smallCaps/>
      <w:sz w:val="30"/>
      <w:szCs w:val="24"/>
    </w:r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/>
    </w:pPr>
    <w:rPr>
      <w:rFonts w:ascii="Times New Roman" w:hAnsi="Times New Roman" w:eastAsia="楷体_GB2312" w:cs="Times New Roman"/>
      <w:sz w:val="30"/>
      <w:szCs w:val="24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character" w:customStyle="1" w:styleId="14">
    <w:name w:val="正文文本缩进 3 Char"/>
    <w:link w:val="6"/>
    <w:qFormat/>
    <w:locked/>
    <w:uiPriority w:val="99"/>
    <w:rPr>
      <w:rFonts w:eastAsia="楷体_GB2312"/>
      <w:sz w:val="16"/>
      <w:szCs w:val="16"/>
    </w:rPr>
  </w:style>
  <w:style w:type="character" w:customStyle="1" w:styleId="15">
    <w:name w:val="正文文本缩进 3 Char1"/>
    <w:basedOn w:val="9"/>
    <w:link w:val="6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72.28875\2017&#24180;&#31532;&#20108;&#23395;&#24230;&#27719;&#24635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1184.23482\2017&#24180;&#31532;&#20108;&#23395;&#24230;&#27719;&#24635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1184.23482\2017&#24180;&#31532;&#20108;&#23395;&#24230;&#27719;&#24635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1184.23482\2017&#24180;&#31532;&#20108;&#23395;&#24230;&#27719;&#24635;&#25968;&#2545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6160.48379\2016&#24180;&#31532;&#22235;&#23395;&#2423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72.28875\2017&#24180;&#31532;&#20108;&#23395;&#24230;&#27719;&#24635;&#25968;&#25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800" b="1" i="0" baseline="0"/>
              <a:t>药品经营企业日常监管</a:t>
            </a:r>
            <a:r>
              <a:rPr lang="zh-CN" altLang="zh-CN" sz="1800" b="1" i="0" baseline="0"/>
              <a:t>情况</a:t>
            </a:r>
            <a:endParaRPr lang="zh-CN" altLang="zh-CN"/>
          </a:p>
        </c:rich>
      </c:tx>
      <c:layout/>
      <c:overlay val="false"/>
    </c:title>
    <c:autoTitleDeleted val="false"/>
    <c:plotArea>
      <c:layout/>
      <c:lineChart>
        <c:grouping val="stacked"/>
        <c:varyColors val="false"/>
        <c:ser>
          <c:idx val="0"/>
          <c:order val="0"/>
          <c:tx>
            <c:strRef>
              <c:f>Sheet2!$B$21</c:f>
              <c:strCache>
                <c:ptCount val="1"/>
                <c:pt idx="0">
                  <c:v>批发企业</c:v>
                </c:pt>
              </c:strCache>
            </c:strRef>
          </c:tx>
          <c:dLbls>
            <c:delete val="true"/>
          </c:dLbls>
          <c:cat>
            <c:strRef>
              <c:f>Sheet2!$C$20:$I$20</c:f>
              <c:strCache>
                <c:ptCount val="7"/>
                <c:pt idx="0">
                  <c:v>存在违规</c:v>
                </c:pt>
                <c:pt idx="1">
                  <c:v>未遵守GSP </c:v>
                </c:pt>
                <c:pt idx="2">
                  <c:v>非法渠道购进药品</c:v>
                </c:pt>
                <c:pt idx="3">
                  <c:v>完成整改</c:v>
                </c:pt>
                <c:pt idx="4">
                  <c:v>撤销GSP</c:v>
                </c:pt>
                <c:pt idx="5">
                  <c:v>涉及劣药</c:v>
                </c:pt>
                <c:pt idx="6">
                  <c:v>无照经营</c:v>
                </c:pt>
              </c:strCache>
            </c:strRef>
          </c:cat>
          <c:val>
            <c:numRef>
              <c:f>Sheet2!$C$21:$I$21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1</c:v>
                </c:pt>
                <c:pt idx="3">
                  <c:v>87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false"/>
        </c:ser>
        <c:ser>
          <c:idx val="1"/>
          <c:order val="1"/>
          <c:tx>
            <c:strRef>
              <c:f>Sheet2!$B$22</c:f>
              <c:strCache>
                <c:ptCount val="1"/>
                <c:pt idx="0">
                  <c:v>零售企业</c:v>
                </c:pt>
              </c:strCache>
            </c:strRef>
          </c:tx>
          <c:dLbls>
            <c:delete val="true"/>
          </c:dLbls>
          <c:cat>
            <c:strRef>
              <c:f>Sheet2!$C$20:$I$20</c:f>
              <c:strCache>
                <c:ptCount val="7"/>
                <c:pt idx="0">
                  <c:v>存在违规</c:v>
                </c:pt>
                <c:pt idx="1">
                  <c:v>未遵守GSP </c:v>
                </c:pt>
                <c:pt idx="2">
                  <c:v>非法渠道购进药品</c:v>
                </c:pt>
                <c:pt idx="3">
                  <c:v>完成整改</c:v>
                </c:pt>
                <c:pt idx="4">
                  <c:v>撤销GSP</c:v>
                </c:pt>
                <c:pt idx="5">
                  <c:v>涉及劣药</c:v>
                </c:pt>
                <c:pt idx="6">
                  <c:v>无照经营</c:v>
                </c:pt>
              </c:strCache>
            </c:strRef>
          </c:cat>
          <c:val>
            <c:numRef>
              <c:f>Sheet2!$C$22:$I$22</c:f>
              <c:numCache>
                <c:formatCode>General</c:formatCode>
                <c:ptCount val="7"/>
                <c:pt idx="0">
                  <c:v>841</c:v>
                </c:pt>
                <c:pt idx="1">
                  <c:v>377</c:v>
                </c:pt>
                <c:pt idx="2">
                  <c:v>5</c:v>
                </c:pt>
                <c:pt idx="3">
                  <c:v>751</c:v>
                </c:pt>
                <c:pt idx="4">
                  <c:v>0</c:v>
                </c:pt>
                <c:pt idx="5">
                  <c:v>17</c:v>
                </c:pt>
                <c:pt idx="6">
                  <c:v>2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117663616"/>
        <c:axId val="119286784"/>
      </c:lineChart>
      <c:catAx>
        <c:axId val="117663616"/>
        <c:scaling>
          <c:orientation val="minMax"/>
        </c:scaling>
        <c:delete val="fals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9286784"/>
        <c:crosses val="autoZero"/>
        <c:auto val="true"/>
        <c:lblAlgn val="ctr"/>
        <c:lblOffset val="100"/>
        <c:noMultiLvlLbl val="false"/>
      </c:catAx>
      <c:valAx>
        <c:axId val="119286784"/>
        <c:scaling>
          <c:orientation val="minMax"/>
        </c:scaling>
        <c:delete val="false"/>
        <c:axPos val="l"/>
        <c:majorGridlines/>
        <c:numFmt formatCode="General" sourceLinked="true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7663616"/>
        <c:crosses val="autoZero"/>
        <c:crossBetween val="between"/>
      </c:valAx>
      <c:dTable>
        <c:showHorzBorder val="true"/>
        <c:showVertBorder val="true"/>
        <c:showOutline val="true"/>
        <c:showKeys val="true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solidFill>
          <a:schemeClr val="accent1">
            <a:lumMod val="40000"/>
            <a:lumOff val="60000"/>
          </a:schemeClr>
        </a:solidFill>
      </c:spPr>
    </c:plotArea>
    <c:plotVisOnly val="true"/>
    <c:dispBlanksAs val="gap"/>
    <c:showDLblsOverMax val="false"/>
  </c:chart>
  <c:spPr>
    <a:solidFill>
      <a:srgbClr val="1F497D">
        <a:lumMod val="40000"/>
        <a:lumOff val="60000"/>
      </a:srgbClr>
    </a:solidFill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投诉举报信息接收情况</a:t>
            </a:r>
            <a:endParaRPr lang="zh-CN" altLang="en-US"/>
          </a:p>
        </c:rich>
      </c:tx>
      <c:layout>
        <c:manualLayout>
          <c:xMode val="edge"/>
          <c:yMode val="edge"/>
          <c:x val="0.235138888888889"/>
          <c:y val="0.0555555555555555"/>
        </c:manualLayout>
      </c:layout>
      <c:overlay val="false"/>
    </c:title>
    <c:autoTitleDeleted val="false"/>
    <c:plotArea>
      <c:layout/>
      <c:pieChart>
        <c:varyColors val="true"/>
        <c:ser>
          <c:idx val="0"/>
          <c:order val="0"/>
          <c:explosion val="25"/>
          <c:dPt>
            <c:idx val="0"/>
            <c:bubble3D val="false"/>
            <c:spPr>
              <a:solidFill>
                <a:srgbClr val="FFFF00"/>
              </a:solidFill>
            </c:spPr>
          </c:dPt>
          <c:dPt>
            <c:idx val="1"/>
            <c:bubble3D val="false"/>
          </c:dPt>
          <c:dPt>
            <c:idx val="2"/>
            <c:bubble3D val="false"/>
          </c:dPt>
          <c:dPt>
            <c:idx val="3"/>
            <c:bubble3D val="false"/>
          </c:dPt>
          <c:dPt>
            <c:idx val="4"/>
            <c:bubble3D val="false"/>
          </c:dPt>
          <c:dLbls>
            <c:dLbl>
              <c:idx val="0"/>
              <c:layout>
                <c:manualLayout>
                  <c:x val="-0.0468326771653543"/>
                  <c:y val="0.146445027704871"/>
                </c:manualLayout>
              </c:layout>
              <c:dLblPos val="bestFit"/>
              <c:showLegendKey val="false"/>
              <c:showVal val="true"/>
              <c:showCatName val="tru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15523840769904"/>
                  <c:y val="-0.00679170312044331"/>
                </c:manualLayout>
              </c:layout>
              <c:dLblPos val="bestFit"/>
              <c:showLegendKey val="false"/>
              <c:showVal val="true"/>
              <c:showCatName val="tru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18287620297463"/>
                  <c:y val="-0.124050743657043"/>
                </c:manualLayout>
              </c:layout>
              <c:dLblPos val="bestFit"/>
              <c:showLegendKey val="false"/>
              <c:showVal val="true"/>
              <c:showCatName val="tru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false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true"/>
            <c:showSerName val="false"/>
            <c:showPercent val="tru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/>
              </c:ext>
            </c:extLst>
          </c:dLbls>
          <c:cat>
            <c:strRef>
              <c:f>Sheet2!$B$74:$B$78</c:f>
              <c:strCache>
                <c:ptCount val="5"/>
                <c:pt idx="0">
                  <c:v>电话</c:v>
                </c:pt>
                <c:pt idx="1">
                  <c:v>网络</c:v>
                </c:pt>
                <c:pt idx="2">
                  <c:v>信件</c:v>
                </c:pt>
                <c:pt idx="3">
                  <c:v>走访</c:v>
                </c:pt>
                <c:pt idx="4">
                  <c:v>其他</c:v>
                </c:pt>
              </c:strCache>
            </c:strRef>
          </c:cat>
          <c:val>
            <c:numRef>
              <c:f>Sheet2!$C$74:$C$78</c:f>
              <c:numCache>
                <c:formatCode>General</c:formatCode>
                <c:ptCount val="5"/>
                <c:pt idx="0">
                  <c:v>470</c:v>
                </c:pt>
                <c:pt idx="1">
                  <c:v>3</c:v>
                </c:pt>
                <c:pt idx="2">
                  <c:v>10</c:v>
                </c:pt>
                <c:pt idx="3">
                  <c:v>14</c:v>
                </c:pt>
                <c:pt idx="4">
                  <c:v>20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true"/>
          <c:showBubbleSize val="false"/>
          <c:showLeaderLines val="true"/>
        </c:dLbls>
        <c:firstSliceAng val="218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9487532808399"/>
          <c:y val="0.351817949839606"/>
          <c:w val="0.102734689413824"/>
          <c:h val="0.41858595800525"/>
        </c:manualLayout>
      </c:layout>
      <c:overlay val="false"/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违法药品案件来源情况</a:t>
            </a:r>
            <a:endParaRPr lang="zh-CN" altLang="en-US"/>
          </a:p>
        </c:rich>
      </c:tx>
      <c:layout/>
      <c:overlay val="false"/>
    </c:title>
    <c:autoTitleDeleted val="false"/>
    <c:plotArea>
      <c:layout>
        <c:manualLayout>
          <c:layoutTarget val="inner"/>
          <c:xMode val="edge"/>
          <c:yMode val="edge"/>
          <c:x val="0.0539956255468068"/>
          <c:y val="0.249421114027414"/>
          <c:w val="0.539274059492564"/>
          <c:h val="0.641898512685918"/>
        </c:manualLayout>
      </c:layout>
      <c:pieChart>
        <c:varyColors val="true"/>
        <c:ser>
          <c:idx val="0"/>
          <c:order val="0"/>
          <c:explosion val="25"/>
          <c:dPt>
            <c:idx val="0"/>
            <c:bubble3D val="false"/>
          </c:dPt>
          <c:dPt>
            <c:idx val="1"/>
            <c:bubble3D val="false"/>
          </c:dPt>
          <c:dPt>
            <c:idx val="2"/>
            <c:bubble3D val="false"/>
          </c:dPt>
          <c:dPt>
            <c:idx val="3"/>
            <c:bubble3D val="false"/>
          </c:dPt>
          <c:dPt>
            <c:idx val="4"/>
            <c:bubble3D val="false"/>
          </c:dPt>
          <c:dPt>
            <c:idx val="5"/>
            <c:bubble3D val="false"/>
          </c:dPt>
          <c:dLbls>
            <c:dLbl>
              <c:idx val="3"/>
              <c:layout>
                <c:manualLayout>
                  <c:x val="-0.0525422134733159"/>
                  <c:y val="-0.00443751822688831"/>
                </c:manualLayout>
              </c:layout>
              <c:dLblPos val="bestFit"/>
              <c:showLegendKey val="false"/>
              <c:showVal val="true"/>
              <c:showCatName val="true"/>
              <c:showSerName val="false"/>
              <c:showPercent val="tru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false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true"/>
            <c:showSerName val="false"/>
            <c:showPercent val="tru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/>
              </c:ext>
            </c:extLst>
          </c:dLbls>
          <c:cat>
            <c:strRef>
              <c:f>Sheet2!$D$175:$D$180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Sheet2!$E$175:$E$180</c:f>
              <c:numCache>
                <c:formatCode>General</c:formatCode>
                <c:ptCount val="6"/>
                <c:pt idx="0">
                  <c:v>17</c:v>
                </c:pt>
                <c:pt idx="1">
                  <c:v>6</c:v>
                </c:pt>
                <c:pt idx="2">
                  <c:v>2</c:v>
                </c:pt>
                <c:pt idx="3">
                  <c:v>251</c:v>
                </c:pt>
                <c:pt idx="4">
                  <c:v>3</c:v>
                </c:pt>
                <c:pt idx="5">
                  <c:v>8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true"/>
          <c:showBubbleSize val="false"/>
          <c:showLeaderLines val="true"/>
        </c:dLbls>
        <c:firstSliceAng val="13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1154199475066"/>
          <c:y val="0.231255832604258"/>
          <c:w val="0.288845800524934"/>
          <c:h val="0.497673519976671"/>
        </c:manualLayout>
      </c:layout>
      <c:overlay val="false"/>
      <c:txPr>
        <a:bodyPr rot="0" spcFirstLastPara="0" vertOverflow="ellipsis" vert="horz" wrap="square" anchor="ctr" anchorCtr="true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/>
              <a:t>医疗器械经营企业日常监管情况</a:t>
            </a:r>
            <a:endParaRPr lang="en-US" altLang="zh-CN" sz="1600"/>
          </a:p>
        </c:rich>
      </c:tx>
      <c:layout>
        <c:manualLayout>
          <c:xMode val="edge"/>
          <c:yMode val="edge"/>
          <c:x val="0.220194444444445"/>
          <c:y val="0.0277777923229219"/>
        </c:manualLayout>
      </c:layout>
      <c:overlay val="false"/>
    </c:title>
    <c:autoTitleDeleted val="false"/>
    <c:plotArea>
      <c:layout/>
      <c:barChart>
        <c:barDir val="col"/>
        <c:grouping val="clustered"/>
        <c:varyColors val="false"/>
        <c:ser>
          <c:idx val="1"/>
          <c:order val="1"/>
          <c:tx>
            <c:strRef>
              <c:f>Sheet2!$A$51</c:f>
              <c:strCache>
                <c:ptCount val="1"/>
                <c:pt idx="0">
                  <c:v>使用单位</c:v>
                </c:pt>
              </c:strCache>
            </c:strRef>
          </c:tx>
          <c:invertIfNegative val="false"/>
          <c:dLbls>
            <c:delete val="true"/>
          </c:dLbls>
          <c:cat>
            <c:strRef>
              <c:f>Sheet2!$B$49:$D$49</c:f>
              <c:strCache>
                <c:ptCount val="3"/>
                <c:pt idx="0">
                  <c:v>存在违规行为</c:v>
                </c:pt>
                <c:pt idx="1">
                  <c:v>完成整改</c:v>
                </c:pt>
                <c:pt idx="2">
                  <c:v>移交稽查部门</c:v>
                </c:pt>
              </c:strCache>
            </c:strRef>
          </c:cat>
          <c:val>
            <c:numRef>
              <c:f>Sheet2!$B$51:$D$51</c:f>
              <c:numCache>
                <c:formatCode>General</c:formatCode>
                <c:ptCount val="3"/>
                <c:pt idx="0">
                  <c:v>91</c:v>
                </c:pt>
                <c:pt idx="1">
                  <c:v>135</c:v>
                </c:pt>
                <c:pt idx="2">
                  <c:v>4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50"/>
        <c:overlap val="-87"/>
        <c:axId val="116054272"/>
        <c:axId val="116596736"/>
      </c:barChart>
      <c:barChart>
        <c:barDir val="col"/>
        <c:grouping val="clustered"/>
        <c:varyColors val="false"/>
        <c:ser>
          <c:idx val="0"/>
          <c:order val="0"/>
          <c:tx>
            <c:strRef>
              <c:f>Sheet2!$A$50</c:f>
              <c:strCache>
                <c:ptCount val="1"/>
                <c:pt idx="0">
                  <c:v>经营企业</c:v>
                </c:pt>
              </c:strCache>
            </c:strRef>
          </c:tx>
          <c:invertIfNegative val="false"/>
          <c:dLbls>
            <c:delete val="true"/>
          </c:dLbls>
          <c:cat>
            <c:strRef>
              <c:f>Sheet2!$B$49:$D$49</c:f>
              <c:strCache>
                <c:ptCount val="3"/>
                <c:pt idx="0">
                  <c:v>存在违规行为</c:v>
                </c:pt>
                <c:pt idx="1">
                  <c:v>完成整改</c:v>
                </c:pt>
                <c:pt idx="2">
                  <c:v>移交稽查部门</c:v>
                </c:pt>
              </c:strCache>
            </c:strRef>
          </c:cat>
          <c:val>
            <c:numRef>
              <c:f>Sheet2!$B$50:$D$50</c:f>
              <c:numCache>
                <c:formatCode>General</c:formatCode>
                <c:ptCount val="3"/>
                <c:pt idx="0">
                  <c:v>176</c:v>
                </c:pt>
                <c:pt idx="1">
                  <c:v>218</c:v>
                </c:pt>
                <c:pt idx="2">
                  <c:v>1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414"/>
        <c:overlap val="-18"/>
        <c:axId val="116599808"/>
        <c:axId val="116598272"/>
      </c:barChart>
      <c:catAx>
        <c:axId val="116054272"/>
        <c:scaling>
          <c:orientation val="minMax"/>
        </c:scaling>
        <c:delete val="fals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6596736"/>
        <c:crosses val="autoZero"/>
        <c:auto val="true"/>
        <c:lblAlgn val="ctr"/>
        <c:lblOffset val="100"/>
        <c:noMultiLvlLbl val="false"/>
      </c:catAx>
      <c:valAx>
        <c:axId val="116596736"/>
        <c:scaling>
          <c:orientation val="minMax"/>
        </c:scaling>
        <c:delete val="false"/>
        <c:axPos val="l"/>
        <c:majorGridlines/>
        <c:numFmt formatCode="General" sourceLinked="true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6054272"/>
        <c:crosses val="autoZero"/>
        <c:crossBetween val="between"/>
      </c:valAx>
      <c:catAx>
        <c:axId val="116599808"/>
        <c:scaling>
          <c:orientation val="minMax"/>
        </c:scaling>
        <c:delete val="true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6598272"/>
        <c:crosses val="autoZero"/>
        <c:auto val="true"/>
        <c:lblAlgn val="ctr"/>
        <c:lblOffset val="100"/>
        <c:noMultiLvlLbl val="false"/>
      </c:catAx>
      <c:valAx>
        <c:axId val="116598272"/>
        <c:scaling>
          <c:orientation val="minMax"/>
        </c:scaling>
        <c:delete val="false"/>
        <c:axPos val="r"/>
        <c:numFmt formatCode="General" sourceLinked="true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6599808"/>
        <c:crosses val="max"/>
        <c:crossBetween val="between"/>
      </c:valAx>
      <c:dTable>
        <c:showHorzBorder val="true"/>
        <c:showVertBorder val="true"/>
        <c:showOutline val="true"/>
        <c:showKeys val="true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solidFill>
          <a:schemeClr val="accent1">
            <a:lumMod val="40000"/>
            <a:lumOff val="60000"/>
          </a:schemeClr>
        </a:solidFill>
      </c:spPr>
    </c:plotArea>
    <c:plotVisOnly val="true"/>
    <c:dispBlanksAs val="gap"/>
    <c:showDLblsOverMax val="false"/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algn="ctr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600"/>
              <a:t>各省（区、市）化妆品生产企业日常监管情况</a:t>
            </a:r>
            <a:endParaRPr lang="zh-CN" altLang="zh-CN" sz="1600"/>
          </a:p>
        </c:rich>
      </c:tx>
      <c:layout>
        <c:manualLayout>
          <c:xMode val="edge"/>
          <c:yMode val="edge"/>
          <c:x val="0.127174132810327"/>
          <c:y val="0.00122010083998342"/>
        </c:manualLayout>
      </c:layout>
      <c:overlay val="false"/>
    </c:title>
    <c:autoTitleDeleted val="false"/>
    <c:plotArea>
      <c:layout>
        <c:manualLayout>
          <c:layoutTarget val="inner"/>
          <c:xMode val="edge"/>
          <c:yMode val="edge"/>
          <c:x val="0.144401356080491"/>
          <c:y val="0.203252405949256"/>
          <c:w val="0.727665791776028"/>
          <c:h val="0.4712941090697"/>
        </c:manualLayout>
      </c:layout>
      <c:lineChart>
        <c:grouping val="stacked"/>
        <c:varyColors val="false"/>
        <c:ser>
          <c:idx val="1"/>
          <c:order val="1"/>
          <c:tx>
            <c:strRef>
              <c:f>Sheet1!$B$54</c:f>
              <c:strCache>
                <c:ptCount val="1"/>
                <c:pt idx="0">
                  <c:v>出动检查人次</c:v>
                </c:pt>
              </c:strCache>
            </c:strRef>
          </c:tx>
          <c:dLbls>
            <c:delete val="true"/>
          </c:dLbls>
          <c:cat>
            <c:strRef>
              <c:f>Sheet1!$C$52:$L$52</c:f>
              <c:strCache>
                <c:ptCount val="10"/>
                <c:pt idx="0">
                  <c:v>小店区</c:v>
                </c:pt>
                <c:pt idx="1">
                  <c:v>长治市</c:v>
                </c:pt>
                <c:pt idx="2">
                  <c:v>潞城市</c:v>
                </c:pt>
                <c:pt idx="3">
                  <c:v>榆次区</c:v>
                </c:pt>
                <c:pt idx="4">
                  <c:v>祁县</c:v>
                </c:pt>
                <c:pt idx="5">
                  <c:v>运城市</c:v>
                </c:pt>
                <c:pt idx="6">
                  <c:v>万荣县</c:v>
                </c:pt>
                <c:pt idx="7">
                  <c:v>浮山县</c:v>
                </c:pt>
                <c:pt idx="8">
                  <c:v>吕梁市</c:v>
                </c:pt>
                <c:pt idx="9">
                  <c:v>柳林县</c:v>
                </c:pt>
              </c:strCache>
            </c:strRef>
          </c:cat>
          <c:val>
            <c:numRef>
              <c:f>Sheet1!$C$54:$L$54</c:f>
              <c:numCache>
                <c:formatCode>General</c:formatCode>
                <c:ptCount val="10"/>
                <c:pt idx="0">
                  <c:v>3</c:v>
                </c:pt>
                <c:pt idx="1">
                  <c:v>2</c:v>
                </c:pt>
                <c:pt idx="2">
                  <c:v>80</c:v>
                </c:pt>
                <c:pt idx="3">
                  <c:v>56</c:v>
                </c:pt>
                <c:pt idx="4">
                  <c:v>176</c:v>
                </c:pt>
                <c:pt idx="5">
                  <c:v>4</c:v>
                </c:pt>
                <c:pt idx="6">
                  <c:v>176</c:v>
                </c:pt>
                <c:pt idx="7">
                  <c:v>42</c:v>
                </c:pt>
                <c:pt idx="8">
                  <c:v>6</c:v>
                </c:pt>
                <c:pt idx="9">
                  <c:v>37</c:v>
                </c:pt>
              </c:numCache>
            </c:numRef>
          </c:val>
          <c:smooth val="false"/>
        </c:ser>
        <c:ser>
          <c:idx val="2"/>
          <c:order val="2"/>
          <c:tx>
            <c:strRef>
              <c:f>Sheet1!$B$55</c:f>
              <c:strCache>
                <c:ptCount val="1"/>
                <c:pt idx="0">
                  <c:v>检查化妆品品种</c:v>
                </c:pt>
              </c:strCache>
            </c:strRef>
          </c:tx>
          <c:dLbls>
            <c:delete val="true"/>
          </c:dLbls>
          <c:cat>
            <c:strRef>
              <c:f>Sheet1!$C$52:$L$52</c:f>
              <c:strCache>
                <c:ptCount val="10"/>
                <c:pt idx="0">
                  <c:v>小店区</c:v>
                </c:pt>
                <c:pt idx="1">
                  <c:v>长治市</c:v>
                </c:pt>
                <c:pt idx="2">
                  <c:v>潞城市</c:v>
                </c:pt>
                <c:pt idx="3">
                  <c:v>榆次区</c:v>
                </c:pt>
                <c:pt idx="4">
                  <c:v>祁县</c:v>
                </c:pt>
                <c:pt idx="5">
                  <c:v>运城市</c:v>
                </c:pt>
                <c:pt idx="6">
                  <c:v>万荣县</c:v>
                </c:pt>
                <c:pt idx="7">
                  <c:v>浮山县</c:v>
                </c:pt>
                <c:pt idx="8">
                  <c:v>吕梁市</c:v>
                </c:pt>
                <c:pt idx="9">
                  <c:v>柳林县</c:v>
                </c:pt>
              </c:strCache>
            </c:strRef>
          </c:cat>
          <c:val>
            <c:numRef>
              <c:f>Sheet1!$C$55:$L$55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39</c:v>
                </c:pt>
                <c:pt idx="3">
                  <c:v>47</c:v>
                </c:pt>
                <c:pt idx="4">
                  <c:v>0</c:v>
                </c:pt>
                <c:pt idx="5">
                  <c:v>3</c:v>
                </c:pt>
                <c:pt idx="6">
                  <c:v>44</c:v>
                </c:pt>
                <c:pt idx="7">
                  <c:v>0</c:v>
                </c:pt>
                <c:pt idx="8">
                  <c:v>3</c:v>
                </c:pt>
                <c:pt idx="9">
                  <c:v>16</c:v>
                </c:pt>
              </c:numCache>
            </c:numRef>
          </c:val>
          <c:smooth val="false"/>
        </c:ser>
        <c:ser>
          <c:idx val="0"/>
          <c:order val="0"/>
          <c:tx>
            <c:strRef>
              <c:f>Sheet1!$B$53</c:f>
              <c:strCache>
                <c:ptCount val="1"/>
                <c:pt idx="0">
                  <c:v>检查生产企业次数</c:v>
                </c:pt>
              </c:strCache>
            </c:strRef>
          </c:tx>
          <c:dLbls>
            <c:delete val="true"/>
          </c:dLbls>
          <c:cat>
            <c:strRef>
              <c:f>Sheet1!$C$52:$L$52</c:f>
              <c:strCache>
                <c:ptCount val="10"/>
                <c:pt idx="0">
                  <c:v>小店区</c:v>
                </c:pt>
                <c:pt idx="1">
                  <c:v>长治市</c:v>
                </c:pt>
                <c:pt idx="2">
                  <c:v>潞城市</c:v>
                </c:pt>
                <c:pt idx="3">
                  <c:v>榆次区</c:v>
                </c:pt>
                <c:pt idx="4">
                  <c:v>祁县</c:v>
                </c:pt>
                <c:pt idx="5">
                  <c:v>运城市</c:v>
                </c:pt>
                <c:pt idx="6">
                  <c:v>万荣县</c:v>
                </c:pt>
                <c:pt idx="7">
                  <c:v>浮山县</c:v>
                </c:pt>
                <c:pt idx="8">
                  <c:v>吕梁市</c:v>
                </c:pt>
                <c:pt idx="9">
                  <c:v>柳林县</c:v>
                </c:pt>
              </c:strCache>
            </c:strRef>
          </c:cat>
          <c:val>
            <c:numRef>
              <c:f>Sheet1!$C$53:$L$53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84</c:v>
                </c:pt>
                <c:pt idx="5">
                  <c:v>2</c:v>
                </c:pt>
                <c:pt idx="6">
                  <c:v>0</c:v>
                </c:pt>
                <c:pt idx="7">
                  <c:v>14</c:v>
                </c:pt>
                <c:pt idx="8">
                  <c:v>2</c:v>
                </c:pt>
                <c:pt idx="9">
                  <c:v>21</c:v>
                </c:pt>
              </c:numCache>
            </c:numRef>
          </c:val>
          <c:smooth val="false"/>
        </c:ser>
        <c:ser>
          <c:idx val="3"/>
          <c:order val="3"/>
          <c:tx>
            <c:strRef>
              <c:f>Sheet1!$B$56</c:f>
              <c:strCache>
                <c:ptCount val="1"/>
                <c:pt idx="0">
                  <c:v>抽验化妆品批次</c:v>
                </c:pt>
              </c:strCache>
            </c:strRef>
          </c:tx>
          <c:dLbls>
            <c:delete val="true"/>
          </c:dLbls>
          <c:cat>
            <c:strRef>
              <c:f>Sheet1!$C$52:$L$52</c:f>
              <c:strCache>
                <c:ptCount val="10"/>
                <c:pt idx="0">
                  <c:v>小店区</c:v>
                </c:pt>
                <c:pt idx="1">
                  <c:v>长治市</c:v>
                </c:pt>
                <c:pt idx="2">
                  <c:v>潞城市</c:v>
                </c:pt>
                <c:pt idx="3">
                  <c:v>榆次区</c:v>
                </c:pt>
                <c:pt idx="4">
                  <c:v>祁县</c:v>
                </c:pt>
                <c:pt idx="5">
                  <c:v>运城市</c:v>
                </c:pt>
                <c:pt idx="6">
                  <c:v>万荣县</c:v>
                </c:pt>
                <c:pt idx="7">
                  <c:v>浮山县</c:v>
                </c:pt>
                <c:pt idx="8">
                  <c:v>吕梁市</c:v>
                </c:pt>
                <c:pt idx="9">
                  <c:v>柳林县</c:v>
                </c:pt>
              </c:strCache>
            </c:strRef>
          </c:cat>
          <c:val>
            <c:numRef>
              <c:f>Sheet1!$C$56:$L$56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121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119134464"/>
        <c:axId val="119140352"/>
      </c:lineChart>
      <c:catAx>
        <c:axId val="119134464"/>
        <c:scaling>
          <c:orientation val="minMax"/>
        </c:scaling>
        <c:delete val="fals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9140352"/>
        <c:crosses val="autoZero"/>
        <c:auto val="true"/>
        <c:lblAlgn val="ctr"/>
        <c:lblOffset val="100"/>
        <c:noMultiLvlLbl val="false"/>
      </c:catAx>
      <c:valAx>
        <c:axId val="119140352"/>
        <c:scaling>
          <c:orientation val="minMax"/>
        </c:scaling>
        <c:delete val="false"/>
        <c:axPos val="l"/>
        <c:majorGridlines/>
        <c:numFmt formatCode="General" sourceLinked="true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9134464"/>
        <c:crosses val="autoZero"/>
        <c:crossBetween val="between"/>
      </c:valAx>
      <c:dTable>
        <c:showHorzBorder val="true"/>
        <c:showVertBorder val="true"/>
        <c:showOutline val="true"/>
        <c:showKeys val="true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solidFill>
          <a:schemeClr val="accent1">
            <a:lumMod val="40000"/>
            <a:lumOff val="60000"/>
          </a:schemeClr>
        </a:solidFill>
      </c:spPr>
    </c:plotArea>
    <c:plotVisOnly val="true"/>
    <c:dispBlanksAs val="zero"/>
    <c:showDLblsOverMax val="false"/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800"/>
              <a:t>各省（区、市）违法化妆品案件查处情况</a:t>
            </a:r>
            <a:endParaRPr lang="zh-CN" altLang="zh-CN" sz="1800"/>
          </a:p>
        </c:rich>
      </c:tx>
      <c:layout>
        <c:manualLayout>
          <c:xMode val="edge"/>
          <c:yMode val="edge"/>
          <c:x val="0.122972222222222"/>
          <c:y val="0.0277777777777779"/>
        </c:manualLayout>
      </c:layout>
      <c:overlay val="false"/>
    </c:title>
    <c:autoTitleDeleted val="false"/>
    <c:plotArea>
      <c:layout/>
      <c:barChart>
        <c:barDir val="col"/>
        <c:grouping val="clustered"/>
        <c:varyColors val="false"/>
        <c:ser>
          <c:idx val="1"/>
          <c:order val="1"/>
          <c:tx>
            <c:strRef>
              <c:f>Sheet2!$B$133</c:f>
              <c:strCache>
                <c:ptCount val="1"/>
                <c:pt idx="0">
                  <c:v>货值金额</c:v>
                </c:pt>
              </c:strCache>
            </c:strRef>
          </c:tx>
          <c:invertIfNegative val="false"/>
          <c:dLbls>
            <c:delete val="true"/>
          </c:dLbls>
          <c:cat>
            <c:strRef>
              <c:f>Sheet2!$C$131:$M$131</c:f>
              <c:strCache>
                <c:ptCount val="11"/>
                <c:pt idx="0">
                  <c:v>小店区</c:v>
                </c:pt>
                <c:pt idx="1">
                  <c:v>迎泽区</c:v>
                </c:pt>
                <c:pt idx="2">
                  <c:v>大同云冈区</c:v>
                </c:pt>
                <c:pt idx="3">
                  <c:v>盂县</c:v>
                </c:pt>
                <c:pt idx="4">
                  <c:v>河曲县</c:v>
                </c:pt>
                <c:pt idx="5">
                  <c:v>长治市</c:v>
                </c:pt>
                <c:pt idx="6">
                  <c:v>沁源县</c:v>
                </c:pt>
                <c:pt idx="7">
                  <c:v>和顺县</c:v>
                </c:pt>
                <c:pt idx="8">
                  <c:v>介休市</c:v>
                </c:pt>
                <c:pt idx="9">
                  <c:v>五台县</c:v>
                </c:pt>
                <c:pt idx="10">
                  <c:v>交城县</c:v>
                </c:pt>
              </c:strCache>
            </c:strRef>
          </c:cat>
          <c:val>
            <c:numRef>
              <c:f>Sheet2!$C$133:$M$133</c:f>
              <c:numCache>
                <c:formatCode>General</c:formatCode>
                <c:ptCount val="11"/>
                <c:pt idx="0">
                  <c:v>0.21</c:v>
                </c:pt>
                <c:pt idx="1">
                  <c:v>0.3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50"/>
        <c:overlap val="-87"/>
        <c:axId val="119335552"/>
        <c:axId val="119349632"/>
      </c:barChart>
      <c:barChart>
        <c:barDir val="col"/>
        <c:grouping val="clustered"/>
        <c:varyColors val="false"/>
        <c:ser>
          <c:idx val="0"/>
          <c:order val="0"/>
          <c:tx>
            <c:strRef>
              <c:f>Sheet2!$B$132</c:f>
              <c:strCache>
                <c:ptCount val="1"/>
                <c:pt idx="0">
                  <c:v>案件数</c:v>
                </c:pt>
              </c:strCache>
            </c:strRef>
          </c:tx>
          <c:invertIfNegative val="false"/>
          <c:dLbls>
            <c:delete val="true"/>
          </c:dLbls>
          <c:cat>
            <c:strRef>
              <c:f>Sheet2!$C$131:$M$131</c:f>
              <c:strCache>
                <c:ptCount val="11"/>
                <c:pt idx="0">
                  <c:v>小店区</c:v>
                </c:pt>
                <c:pt idx="1">
                  <c:v>迎泽区</c:v>
                </c:pt>
                <c:pt idx="2">
                  <c:v>大同云冈区</c:v>
                </c:pt>
                <c:pt idx="3">
                  <c:v>盂县</c:v>
                </c:pt>
                <c:pt idx="4">
                  <c:v>河曲县</c:v>
                </c:pt>
                <c:pt idx="5">
                  <c:v>长治市</c:v>
                </c:pt>
                <c:pt idx="6">
                  <c:v>沁源县</c:v>
                </c:pt>
                <c:pt idx="7">
                  <c:v>和顺县</c:v>
                </c:pt>
                <c:pt idx="8">
                  <c:v>介休市</c:v>
                </c:pt>
                <c:pt idx="9">
                  <c:v>五台县</c:v>
                </c:pt>
                <c:pt idx="10">
                  <c:v>交城县</c:v>
                </c:pt>
              </c:strCache>
            </c:strRef>
          </c:cat>
          <c:val>
            <c:numRef>
              <c:f>Sheet2!$C$132:$M$132</c:f>
              <c:numCache>
                <c:formatCode>General</c:formatCode>
                <c:ptCount val="11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39</c:v>
                </c:pt>
                <c:pt idx="10">
                  <c:v>2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414"/>
        <c:overlap val="-18"/>
        <c:axId val="119352704"/>
        <c:axId val="119351168"/>
      </c:barChart>
      <c:catAx>
        <c:axId val="119335552"/>
        <c:scaling>
          <c:orientation val="minMax"/>
        </c:scaling>
        <c:delete val="fals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9349632"/>
        <c:crosses val="autoZero"/>
        <c:auto val="true"/>
        <c:lblAlgn val="ctr"/>
        <c:lblOffset val="100"/>
        <c:noMultiLvlLbl val="false"/>
      </c:catAx>
      <c:valAx>
        <c:axId val="119349632"/>
        <c:scaling>
          <c:orientation val="minMax"/>
        </c:scaling>
        <c:delete val="false"/>
        <c:axPos val="l"/>
        <c:majorGridlines/>
        <c:numFmt formatCode="General" sourceLinked="true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9335552"/>
        <c:crosses val="autoZero"/>
        <c:crossBetween val="between"/>
      </c:valAx>
      <c:catAx>
        <c:axId val="119352704"/>
        <c:scaling>
          <c:orientation val="minMax"/>
        </c:scaling>
        <c:delete val="true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9351168"/>
        <c:crosses val="autoZero"/>
        <c:auto val="true"/>
        <c:lblAlgn val="ctr"/>
        <c:lblOffset val="100"/>
        <c:noMultiLvlLbl val="false"/>
      </c:catAx>
      <c:valAx>
        <c:axId val="119351168"/>
        <c:scaling>
          <c:orientation val="minMax"/>
        </c:scaling>
        <c:delete val="false"/>
        <c:axPos val="r"/>
        <c:numFmt formatCode="General" sourceLinked="true"/>
        <c:majorTickMark val="out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19352704"/>
        <c:crosses val="max"/>
        <c:crossBetween val="between"/>
      </c:valAx>
      <c:dTable>
        <c:showHorzBorder val="true"/>
        <c:showVertBorder val="true"/>
        <c:showOutline val="true"/>
        <c:showKeys val="true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solidFill>
          <a:schemeClr val="accent1">
            <a:lumMod val="40000"/>
            <a:lumOff val="60000"/>
          </a:schemeClr>
        </a:solidFill>
      </c:spPr>
    </c:plotArea>
    <c:plotVisOnly val="true"/>
    <c:dispBlanksAs val="gap"/>
    <c:showDLblsOverMax val="false"/>
  </c:chart>
  <c:spPr>
    <a:solidFill>
      <a:schemeClr val="tx2">
        <a:lumMod val="40000"/>
        <a:lumOff val="60000"/>
      </a:schemeClr>
    </a:solidFill>
  </c:spPr>
  <c:txPr>
    <a:bodyPr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27</Pages>
  <Words>1576</Words>
  <Characters>8988</Characters>
  <Lines>74</Lines>
  <Paragraphs>21</Paragraphs>
  <TotalTime>3454</TotalTime>
  <ScaleCrop>false</ScaleCrop>
  <LinksUpToDate>false</LinksUpToDate>
  <CharactersWithSpaces>10543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2019-11-15T09:46:00Z</dcterms:created>
  <dc:creator>于静2</dc:creator>
  <cp:lastModifiedBy>kylin</cp:lastModifiedBy>
  <dcterms:modified xsi:type="dcterms:W3CDTF">2025-08-19T16:15:34Z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