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2AFBB">
      <w:pPr>
        <w:spacing w:before="156"/>
        <w:rPr>
          <w:b/>
          <w:bCs/>
          <w:sz w:val="44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-1143635</wp:posOffset>
            </wp:positionH>
            <wp:positionV relativeFrom="paragraph">
              <wp:posOffset>-913130</wp:posOffset>
            </wp:positionV>
            <wp:extent cx="7560945" cy="5738495"/>
            <wp:effectExtent l="19050" t="0" r="1905" b="0"/>
            <wp:wrapNone/>
            <wp:docPr id="10" name="Picture 2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未标题-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573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25F856">
      <w:pPr>
        <w:spacing w:before="156"/>
        <w:ind w:firstLine="883"/>
        <w:rPr>
          <w:b/>
          <w:bCs/>
          <w:sz w:val="44"/>
        </w:rPr>
      </w:pPr>
    </w:p>
    <w:p w14:paraId="466F450C">
      <w:pPr>
        <w:spacing w:before="156"/>
        <w:ind w:firstLine="883"/>
        <w:rPr>
          <w:b/>
          <w:bCs/>
          <w:sz w:val="44"/>
        </w:rPr>
      </w:pPr>
    </w:p>
    <w:p w14:paraId="517A6503">
      <w:pPr>
        <w:spacing w:before="156"/>
        <w:ind w:firstLine="883"/>
        <w:rPr>
          <w:b/>
          <w:bCs/>
          <w:sz w:val="44"/>
        </w:rPr>
      </w:pPr>
    </w:p>
    <w:p w14:paraId="486B47A3">
      <w:pPr>
        <w:spacing w:before="156"/>
        <w:ind w:firstLine="0" w:firstLineChars="0"/>
        <w:jc w:val="center"/>
        <w:rPr>
          <w:rFonts w:ascii="方正小标宋_GBK" w:eastAsia="方正小标宋_GBK"/>
          <w:sz w:val="52"/>
          <w:szCs w:val="52"/>
        </w:rPr>
      </w:pPr>
      <w:r>
        <w:rPr>
          <w:rFonts w:hint="eastAsia" w:ascii="方正小标宋_GBK" w:eastAsia="方正小标宋_GBK"/>
          <w:sz w:val="52"/>
          <w:szCs w:val="52"/>
        </w:rPr>
        <w:t>山西省药品监督管理局</w:t>
      </w:r>
    </w:p>
    <w:p w14:paraId="18FE6251">
      <w:pPr>
        <w:spacing w:before="156"/>
        <w:ind w:firstLine="0" w:firstLineChars="0"/>
        <w:jc w:val="center"/>
        <w:rPr>
          <w:rFonts w:ascii="方正小标宋_GBK" w:eastAsia="方正小标宋_GBK"/>
          <w:sz w:val="52"/>
          <w:szCs w:val="52"/>
        </w:rPr>
      </w:pPr>
      <w:r>
        <w:rPr>
          <w:rFonts w:hint="eastAsia" w:ascii="方正小标宋_GBK" w:eastAsia="方正小标宋_GBK"/>
          <w:sz w:val="52"/>
          <w:szCs w:val="52"/>
        </w:rPr>
        <w:t>统计分析报告</w:t>
      </w:r>
    </w:p>
    <w:p w14:paraId="68438327">
      <w:pPr>
        <w:spacing w:before="156"/>
        <w:ind w:firstLine="0" w:firstLineChars="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（2019年第1季度）</w:t>
      </w:r>
    </w:p>
    <w:p w14:paraId="42B370B1">
      <w:pPr>
        <w:spacing w:before="156"/>
        <w:ind w:firstLine="883"/>
        <w:rPr>
          <w:b/>
          <w:bCs/>
          <w:sz w:val="44"/>
        </w:rPr>
      </w:pPr>
    </w:p>
    <w:p w14:paraId="4C3BE281">
      <w:pPr>
        <w:spacing w:before="156"/>
        <w:ind w:firstLine="883"/>
        <w:rPr>
          <w:b/>
          <w:bCs/>
          <w:sz w:val="44"/>
        </w:rPr>
      </w:pPr>
    </w:p>
    <w:p w14:paraId="0A302F5A">
      <w:pPr>
        <w:spacing w:before="156"/>
        <w:ind w:firstLine="883"/>
        <w:rPr>
          <w:b/>
          <w:bCs/>
          <w:sz w:val="44"/>
        </w:rPr>
      </w:pPr>
    </w:p>
    <w:p w14:paraId="6333F974">
      <w:pPr>
        <w:spacing w:before="156"/>
        <w:ind w:firstLine="883"/>
        <w:rPr>
          <w:b/>
          <w:bCs/>
          <w:sz w:val="44"/>
        </w:rPr>
      </w:pPr>
    </w:p>
    <w:p w14:paraId="1141D7F6">
      <w:pPr>
        <w:spacing w:before="156"/>
        <w:ind w:firstLine="0" w:firstLineChars="0"/>
      </w:pPr>
    </w:p>
    <w:p w14:paraId="703CB7CC">
      <w:pPr>
        <w:spacing w:before="156"/>
        <w:ind w:firstLine="0" w:firstLineChars="0"/>
      </w:pPr>
    </w:p>
    <w:p w14:paraId="7D2302C9">
      <w:pPr>
        <w:spacing w:before="156"/>
        <w:ind w:firstLine="0" w:firstLineChars="0"/>
      </w:pPr>
    </w:p>
    <w:p w14:paraId="78ACBC0B">
      <w:pPr>
        <w:spacing w:before="156"/>
        <w:ind w:firstLine="0" w:firstLineChars="0"/>
      </w:pPr>
    </w:p>
    <w:p w14:paraId="0860EBF5">
      <w:pPr>
        <w:spacing w:before="156"/>
        <w:ind w:firstLine="0" w:firstLineChars="0"/>
      </w:pPr>
    </w:p>
    <w:p w14:paraId="7394E450">
      <w:pPr>
        <w:spacing w:before="156"/>
        <w:ind w:firstLine="0" w:firstLineChars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山西省药品监督管理局办公室</w:t>
      </w:r>
    </w:p>
    <w:p w14:paraId="029F2855">
      <w:pPr>
        <w:spacing w:beforeLines="100"/>
        <w:ind w:firstLine="883"/>
        <w:jc w:val="center"/>
        <w:rPr>
          <w:b/>
          <w:bCs/>
          <w:sz w:val="44"/>
          <w:szCs w:val="4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6E3C2F56">
      <w:pPr>
        <w:spacing w:beforeLines="100"/>
        <w:ind w:firstLine="0" w:firstLineChars="0"/>
        <w:jc w:val="center"/>
        <w:rPr>
          <w:b/>
          <w:bCs/>
          <w:sz w:val="36"/>
          <w:szCs w:val="28"/>
        </w:rPr>
      </w:pPr>
      <w:r>
        <w:rPr>
          <w:rFonts w:hint="eastAsia"/>
          <w:b/>
          <w:bCs/>
          <w:sz w:val="44"/>
          <w:szCs w:val="44"/>
        </w:rPr>
        <w:t>说    明</w:t>
      </w:r>
    </w:p>
    <w:p w14:paraId="44D966FB">
      <w:pPr>
        <w:spacing w:before="156"/>
        <w:ind w:firstLine="64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本期报告为2019年统计分析报告第1季度季报部分，共包括两部分内容，第一部分为行政审批情况，第二部分为“两品一械”监督检查情况。</w:t>
      </w:r>
    </w:p>
    <w:p w14:paraId="53D22C18">
      <w:pPr>
        <w:spacing w:before="156"/>
        <w:rPr>
          <w:rFonts w:ascii="仿宋" w:hAnsi="仿宋" w:cs="仿宋"/>
          <w:szCs w:val="28"/>
        </w:rPr>
      </w:pPr>
    </w:p>
    <w:p w14:paraId="6B4F78E5">
      <w:pPr>
        <w:spacing w:before="156"/>
        <w:rPr>
          <w:rFonts w:ascii="仿宋" w:hAnsi="仿宋" w:cs="仿宋"/>
          <w:szCs w:val="28"/>
        </w:rPr>
      </w:pPr>
    </w:p>
    <w:p w14:paraId="044297F8">
      <w:pPr>
        <w:spacing w:before="156"/>
        <w:rPr>
          <w:rFonts w:ascii="仿宋" w:hAnsi="仿宋" w:cs="仿宋"/>
          <w:szCs w:val="28"/>
        </w:rPr>
      </w:pPr>
    </w:p>
    <w:p w14:paraId="30439EC4">
      <w:pPr>
        <w:spacing w:before="156"/>
        <w:rPr>
          <w:rFonts w:ascii="仿宋" w:hAnsi="仿宋" w:cs="仿宋"/>
          <w:szCs w:val="28"/>
        </w:rPr>
      </w:pPr>
    </w:p>
    <w:p w14:paraId="41C8F2BC">
      <w:pPr>
        <w:spacing w:before="156"/>
        <w:rPr>
          <w:rFonts w:ascii="仿宋" w:hAnsi="仿宋" w:cs="仿宋"/>
          <w:szCs w:val="28"/>
        </w:rPr>
      </w:pPr>
    </w:p>
    <w:p w14:paraId="51685B8C">
      <w:pPr>
        <w:spacing w:before="156"/>
        <w:rPr>
          <w:rFonts w:ascii="仿宋" w:hAnsi="仿宋" w:cs="仿宋"/>
          <w:szCs w:val="28"/>
        </w:rPr>
      </w:pPr>
    </w:p>
    <w:p w14:paraId="57017ECF">
      <w:pPr>
        <w:spacing w:before="156"/>
        <w:rPr>
          <w:rFonts w:ascii="仿宋" w:hAnsi="仿宋" w:cs="仿宋"/>
          <w:szCs w:val="28"/>
        </w:rPr>
      </w:pPr>
    </w:p>
    <w:p w14:paraId="29B87330">
      <w:pPr>
        <w:spacing w:before="156"/>
        <w:rPr>
          <w:rFonts w:ascii="仿宋" w:hAnsi="仿宋" w:cs="仿宋"/>
          <w:szCs w:val="28"/>
        </w:rPr>
      </w:pPr>
    </w:p>
    <w:p w14:paraId="3D48E86C">
      <w:pPr>
        <w:spacing w:before="156"/>
        <w:rPr>
          <w:rFonts w:ascii="仿宋" w:hAnsi="仿宋" w:cs="仿宋"/>
          <w:szCs w:val="28"/>
        </w:rPr>
      </w:pPr>
    </w:p>
    <w:p w14:paraId="2A00FF4F">
      <w:pPr>
        <w:spacing w:before="156"/>
      </w:pPr>
    </w:p>
    <w:p w14:paraId="3D7E329A">
      <w:pPr>
        <w:spacing w:before="156"/>
      </w:pPr>
    </w:p>
    <w:p w14:paraId="12B55AF6">
      <w:pPr>
        <w:spacing w:before="156"/>
        <w:ind w:firstLine="883"/>
        <w:jc w:val="center"/>
        <w:rPr>
          <w:b/>
          <w:bCs/>
          <w:sz w:val="44"/>
          <w:szCs w:val="44"/>
        </w:rPr>
      </w:pPr>
    </w:p>
    <w:p w14:paraId="5C38DED4">
      <w:pPr>
        <w:spacing w:before="156"/>
        <w:ind w:firstLine="883"/>
        <w:jc w:val="center"/>
        <w:rPr>
          <w:b/>
          <w:bCs/>
          <w:sz w:val="44"/>
          <w:szCs w:val="44"/>
        </w:rPr>
        <w:sectPr>
          <w:footerReference r:id="rId11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2AA7D063">
      <w:pPr>
        <w:spacing w:before="156"/>
        <w:ind w:firstLine="883"/>
        <w:jc w:val="center"/>
        <w:rPr>
          <w:b/>
          <w:bCs/>
          <w:sz w:val="44"/>
          <w:szCs w:val="44"/>
        </w:rPr>
      </w:pPr>
      <w:bookmarkStart w:id="0" w:name="_Toc30704"/>
      <w:bookmarkStart w:id="1" w:name="_Toc3475"/>
      <w:bookmarkStart w:id="2" w:name="_Toc11273"/>
      <w:r>
        <w:rPr>
          <w:rFonts w:hint="eastAsia"/>
          <w:b/>
          <w:bCs/>
          <w:sz w:val="44"/>
          <w:szCs w:val="44"/>
        </w:rPr>
        <w:t>目    录</w:t>
      </w:r>
    </w:p>
    <w:p w14:paraId="35484E0B">
      <w:pPr>
        <w:pStyle w:val="9"/>
        <w:tabs>
          <w:tab w:val="right" w:leader="dot" w:pos="8306"/>
        </w:tabs>
        <w:spacing w:before="156"/>
        <w:rPr>
          <w:rFonts w:ascii="仿宋_GB2312" w:eastAsia="仿宋_GB2312"/>
        </w:rPr>
      </w:pPr>
      <w:r>
        <w:rPr>
          <w:rFonts w:hint="eastAsia" w:ascii="仿宋" w:hAnsi="仿宋" w:cs="仿宋"/>
          <w:szCs w:val="24"/>
        </w:rPr>
        <w:fldChar w:fldCharType="begin"/>
      </w:r>
      <w:r>
        <w:rPr>
          <w:rFonts w:hint="eastAsia" w:ascii="仿宋" w:hAnsi="仿宋" w:cs="仿宋"/>
          <w:szCs w:val="24"/>
        </w:rPr>
        <w:instrText xml:space="preserve">TOC \o "1-2" \h \u </w:instrText>
      </w:r>
      <w:r>
        <w:rPr>
          <w:rFonts w:hint="eastAsia" w:ascii="仿宋" w:hAnsi="仿宋" w:cs="仿宋"/>
          <w:szCs w:val="24"/>
        </w:rPr>
        <w:fldChar w:fldCharType="separate"/>
      </w:r>
      <w:r>
        <w:fldChar w:fldCharType="begin"/>
      </w:r>
      <w:r>
        <w:instrText xml:space="preserve"> HYPERLINK \l "_Toc30704" </w:instrText>
      </w:r>
      <w:r>
        <w:fldChar w:fldCharType="separate"/>
      </w:r>
      <w:r>
        <w:rPr>
          <w:rFonts w:hint="eastAsia" w:ascii="仿宋_GB2312" w:eastAsia="仿宋_GB2312"/>
          <w:sz w:val="32"/>
          <w:szCs w:val="32"/>
        </w:rPr>
        <w:t>第一部分     行政审批情况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>2</w:t>
      </w:r>
      <w:r>
        <w:rPr>
          <w:rFonts w:hint="eastAsia" w:ascii="仿宋_GB2312" w:eastAsia="仿宋_GB2312"/>
        </w:rPr>
        <w:fldChar w:fldCharType="end"/>
      </w:r>
    </w:p>
    <w:p w14:paraId="02E163A4">
      <w:pPr>
        <w:pStyle w:val="10"/>
        <w:tabs>
          <w:tab w:val="right" w:leader="dot" w:pos="8306"/>
        </w:tabs>
        <w:spacing w:before="156"/>
        <w:ind w:left="560"/>
        <w:rPr>
          <w:rFonts w:ascii="仿宋_GB2312" w:eastAsia="仿宋_GB2312"/>
        </w:rPr>
      </w:pPr>
      <w:r>
        <w:fldChar w:fldCharType="begin"/>
      </w:r>
      <w:r>
        <w:instrText xml:space="preserve"> HYPERLINK \l "_Toc11940" </w:instrText>
      </w:r>
      <w:r>
        <w:fldChar w:fldCharType="separate"/>
      </w:r>
      <w:r>
        <w:rPr>
          <w:rFonts w:hint="eastAsia" w:ascii="仿宋_GB2312" w:eastAsia="仿宋_GB2312"/>
          <w:szCs w:val="28"/>
        </w:rPr>
        <w:t>一、</w:t>
      </w:r>
      <w:r>
        <w:rPr>
          <w:rFonts w:hint="eastAsia" w:ascii="仿宋_GB2312" w:hAnsi="黑体" w:eastAsia="仿宋_GB2312"/>
          <w:szCs w:val="28"/>
        </w:rPr>
        <w:t>医疗器械审批情况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>2</w:t>
      </w:r>
      <w:r>
        <w:rPr>
          <w:rFonts w:hint="eastAsia" w:ascii="仿宋_GB2312" w:eastAsia="仿宋_GB2312"/>
        </w:rPr>
        <w:fldChar w:fldCharType="end"/>
      </w:r>
    </w:p>
    <w:p w14:paraId="37A60200">
      <w:pPr>
        <w:pStyle w:val="10"/>
        <w:tabs>
          <w:tab w:val="right" w:leader="dot" w:pos="8306"/>
        </w:tabs>
        <w:spacing w:before="156"/>
        <w:ind w:left="560"/>
        <w:rPr>
          <w:rFonts w:ascii="仿宋" w:hAnsi="仿宋" w:cs="仿宋"/>
          <w:szCs w:val="24"/>
        </w:rPr>
      </w:pPr>
      <w:r>
        <w:fldChar w:fldCharType="begin"/>
      </w:r>
      <w:r>
        <w:instrText xml:space="preserve"> HYPERLINK \l "_Toc10690" </w:instrText>
      </w:r>
      <w:r>
        <w:fldChar w:fldCharType="separate"/>
      </w:r>
      <w:r>
        <w:rPr>
          <w:rFonts w:hint="eastAsia" w:ascii="仿宋_GB2312" w:eastAsia="仿宋_GB2312"/>
          <w:szCs w:val="28"/>
        </w:rPr>
        <w:t>二、</w:t>
      </w:r>
      <w:r>
        <w:rPr>
          <w:rFonts w:hint="eastAsia" w:ascii="仿宋_GB2312" w:hAnsi="黑体" w:eastAsia="仿宋_GB2312"/>
          <w:szCs w:val="28"/>
        </w:rPr>
        <w:t>医疗器械许可及备案情况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>2</w:t>
      </w:r>
      <w:r>
        <w:rPr>
          <w:rFonts w:hint="eastAsia" w:ascii="仿宋_GB2312" w:eastAsia="仿宋_GB2312"/>
        </w:rPr>
        <w:fldChar w:fldCharType="end"/>
      </w:r>
    </w:p>
    <w:p w14:paraId="72BCB9D5">
      <w:pPr>
        <w:pStyle w:val="9"/>
        <w:tabs>
          <w:tab w:val="right" w:leader="dot" w:pos="8306"/>
        </w:tabs>
        <w:spacing w:before="156"/>
      </w:pPr>
      <w:r>
        <w:fldChar w:fldCharType="begin"/>
      </w:r>
      <w:r>
        <w:instrText xml:space="preserve"> HYPERLINK \l "_Toc23782" </w:instrText>
      </w:r>
      <w:r>
        <w:fldChar w:fldCharType="separate"/>
      </w:r>
      <w:r>
        <w:rPr>
          <w:rFonts w:hint="eastAsia"/>
          <w:sz w:val="32"/>
          <w:szCs w:val="32"/>
        </w:rPr>
        <w:t xml:space="preserve">第二部分  </w:t>
      </w:r>
      <w:r>
        <w:rPr>
          <w:rFonts w:hint="eastAsia"/>
        </w:rPr>
        <w:t xml:space="preserve">    </w:t>
      </w:r>
      <w:r>
        <w:rPr>
          <w:rFonts w:hint="eastAsia" w:ascii="仿宋" w:hAnsi="仿宋" w:cs="仿宋"/>
          <w:sz w:val="32"/>
          <w:szCs w:val="32"/>
        </w:rPr>
        <w:t>执法监督情况</w:t>
      </w:r>
      <w:r>
        <w:tab/>
      </w:r>
      <w:r>
        <w:rPr>
          <w:rFonts w:hint="eastAsia"/>
        </w:rPr>
        <w:t>3</w:t>
      </w:r>
      <w:r>
        <w:rPr>
          <w:rFonts w:hint="eastAsia"/>
        </w:rPr>
        <w:fldChar w:fldCharType="end"/>
      </w:r>
    </w:p>
    <w:p w14:paraId="0B03E26C">
      <w:pPr>
        <w:pStyle w:val="10"/>
        <w:tabs>
          <w:tab w:val="right" w:leader="dot" w:pos="8306"/>
        </w:tabs>
        <w:spacing w:before="156"/>
        <w:ind w:left="560"/>
      </w:pPr>
      <w:r>
        <w:fldChar w:fldCharType="begin"/>
      </w:r>
      <w:r>
        <w:instrText xml:space="preserve"> HYPERLINK \l "_Toc3947" </w:instrText>
      </w:r>
      <w:r>
        <w:fldChar w:fldCharType="separate"/>
      </w:r>
      <w:r>
        <w:rPr>
          <w:rFonts w:hint="eastAsia"/>
        </w:rPr>
        <w:t>一、投诉举报情况</w:t>
      </w:r>
      <w:r>
        <w:tab/>
      </w:r>
      <w:r>
        <w:rPr>
          <w:rFonts w:hint="eastAsia"/>
        </w:rPr>
        <w:t>3</w:t>
      </w:r>
      <w:r>
        <w:rPr>
          <w:rFonts w:hint="eastAsia"/>
        </w:rPr>
        <w:fldChar w:fldCharType="end"/>
      </w:r>
    </w:p>
    <w:p w14:paraId="5D4647FE">
      <w:pPr>
        <w:pStyle w:val="10"/>
        <w:tabs>
          <w:tab w:val="right" w:leader="dot" w:pos="8306"/>
        </w:tabs>
        <w:spacing w:before="156"/>
        <w:ind w:left="560"/>
      </w:pPr>
      <w:r>
        <w:fldChar w:fldCharType="begin"/>
      </w:r>
      <w:r>
        <w:instrText xml:space="preserve"> HYPERLINK \l "_Toc10169" </w:instrText>
      </w:r>
      <w:r>
        <w:fldChar w:fldCharType="separate"/>
      </w:r>
      <w:r>
        <w:rPr>
          <w:rFonts w:hint="eastAsia"/>
        </w:rPr>
        <w:t>二、日常监管情况(案件查处情况)</w:t>
      </w:r>
      <w:r>
        <w:tab/>
      </w:r>
      <w:r>
        <w:rPr>
          <w:rFonts w:hint="eastAsia"/>
        </w:rPr>
        <w:t>6</w:t>
      </w:r>
      <w:r>
        <w:rPr>
          <w:rFonts w:hint="eastAsia"/>
        </w:rPr>
        <w:fldChar w:fldCharType="end"/>
      </w:r>
    </w:p>
    <w:p w14:paraId="3702AA18">
      <w:pPr>
        <w:pStyle w:val="9"/>
        <w:tabs>
          <w:tab w:val="right" w:leader="dot" w:pos="8306"/>
        </w:tabs>
        <w:spacing w:before="156"/>
        <w:rPr>
          <w:color w:val="FF0000"/>
        </w:rPr>
      </w:pPr>
      <w:r>
        <w:rPr>
          <w:rFonts w:hint="eastAsia" w:ascii="仿宋" w:hAnsi="仿宋" w:cs="仿宋"/>
          <w:szCs w:val="24"/>
        </w:rPr>
        <w:fldChar w:fldCharType="end"/>
      </w:r>
    </w:p>
    <w:p w14:paraId="582AE8E5">
      <w:pPr>
        <w:pStyle w:val="9"/>
        <w:tabs>
          <w:tab w:val="right" w:leader="dot" w:pos="8306"/>
        </w:tabs>
        <w:spacing w:before="156"/>
      </w:pPr>
    </w:p>
    <w:p w14:paraId="5CBD1C3A">
      <w:pPr>
        <w:pStyle w:val="10"/>
        <w:tabs>
          <w:tab w:val="right" w:leader="dot" w:pos="8306"/>
        </w:tabs>
        <w:spacing w:before="156"/>
        <w:ind w:left="560"/>
      </w:pPr>
    </w:p>
    <w:p w14:paraId="4C34F9C7">
      <w:pPr>
        <w:spacing w:before="156"/>
        <w:ind w:firstLine="562"/>
        <w:jc w:val="center"/>
        <w:outlineLvl w:val="0"/>
        <w:rPr>
          <w:rStyle w:val="16"/>
        </w:rPr>
      </w:pPr>
    </w:p>
    <w:p w14:paraId="32F02C75">
      <w:pPr>
        <w:spacing w:before="156"/>
        <w:ind w:firstLine="562"/>
        <w:jc w:val="center"/>
        <w:outlineLvl w:val="0"/>
        <w:rPr>
          <w:rStyle w:val="16"/>
        </w:rPr>
      </w:pPr>
    </w:p>
    <w:p w14:paraId="27983DE4">
      <w:pPr>
        <w:spacing w:before="156"/>
        <w:ind w:firstLine="562"/>
        <w:jc w:val="center"/>
        <w:outlineLvl w:val="0"/>
        <w:rPr>
          <w:rStyle w:val="16"/>
        </w:rPr>
      </w:pPr>
    </w:p>
    <w:p w14:paraId="5959936E">
      <w:pPr>
        <w:spacing w:before="156"/>
        <w:ind w:firstLine="562"/>
        <w:jc w:val="center"/>
        <w:outlineLvl w:val="0"/>
        <w:rPr>
          <w:rStyle w:val="16"/>
        </w:rPr>
      </w:pPr>
    </w:p>
    <w:p w14:paraId="31CD214B">
      <w:pPr>
        <w:spacing w:before="156"/>
        <w:ind w:firstLine="562"/>
        <w:jc w:val="center"/>
        <w:outlineLvl w:val="0"/>
        <w:rPr>
          <w:rStyle w:val="16"/>
        </w:rPr>
      </w:pPr>
    </w:p>
    <w:p w14:paraId="4264796C">
      <w:pPr>
        <w:spacing w:before="156"/>
        <w:ind w:firstLine="562"/>
        <w:jc w:val="center"/>
        <w:outlineLvl w:val="0"/>
        <w:rPr>
          <w:rStyle w:val="16"/>
        </w:rPr>
      </w:pPr>
    </w:p>
    <w:p w14:paraId="2CD31471">
      <w:pPr>
        <w:spacing w:before="156"/>
        <w:ind w:firstLine="562"/>
        <w:jc w:val="center"/>
        <w:outlineLvl w:val="0"/>
        <w:rPr>
          <w:rStyle w:val="16"/>
        </w:rPr>
      </w:pPr>
    </w:p>
    <w:p w14:paraId="5AC438DC">
      <w:pPr>
        <w:spacing w:before="156"/>
        <w:ind w:firstLine="562"/>
        <w:jc w:val="center"/>
        <w:outlineLvl w:val="0"/>
        <w:rPr>
          <w:rStyle w:val="16"/>
        </w:rPr>
      </w:pPr>
    </w:p>
    <w:p w14:paraId="2D323ECF">
      <w:pPr>
        <w:spacing w:before="156"/>
        <w:ind w:firstLine="0" w:firstLineChars="0"/>
        <w:jc w:val="center"/>
        <w:outlineLvl w:val="0"/>
        <w:rPr>
          <w:rStyle w:val="16"/>
          <w:rFonts w:ascii="方正小标宋简体" w:eastAsia="方正小标宋简体"/>
          <w:b w:val="0"/>
          <w:sz w:val="44"/>
          <w:szCs w:val="44"/>
        </w:rPr>
      </w:pPr>
      <w:r>
        <w:rPr>
          <w:rStyle w:val="16"/>
          <w:rFonts w:hint="eastAsia" w:ascii="方正小标宋简体" w:eastAsia="方正小标宋简体"/>
          <w:b w:val="0"/>
          <w:sz w:val="44"/>
          <w:szCs w:val="44"/>
        </w:rPr>
        <w:t>第一部分    行政审批情况</w:t>
      </w:r>
      <w:bookmarkEnd w:id="0"/>
      <w:bookmarkEnd w:id="1"/>
    </w:p>
    <w:p w14:paraId="27945359">
      <w:pPr>
        <w:spacing w:beforeLines="0" w:line="560" w:lineRule="exact"/>
        <w:ind w:firstLine="883"/>
        <w:rPr>
          <w:rStyle w:val="16"/>
          <w:color w:val="FF0000"/>
          <w:sz w:val="44"/>
          <w:szCs w:val="44"/>
        </w:rPr>
      </w:pPr>
    </w:p>
    <w:p w14:paraId="393E2A16">
      <w:pPr>
        <w:spacing w:beforeLines="0" w:line="560" w:lineRule="exact"/>
        <w:ind w:firstLine="64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一、医疗器械审批情况</w:t>
      </w:r>
    </w:p>
    <w:p w14:paraId="783015C0">
      <w:pPr>
        <w:spacing w:beforeLines="0" w:line="560" w:lineRule="exact"/>
        <w:ind w:firstLine="640"/>
        <w:jc w:val="both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2019年1季度，境内第一类医疗器械本期备案16件，本期末实有141件。境内第二类医疗器械首次注册受理11件，批准10件；延续注册受理7件；许可事项变更受理2件，批准2件；登记事项变更受理36件。</w:t>
      </w:r>
    </w:p>
    <w:p w14:paraId="4978BE8B">
      <w:pPr>
        <w:spacing w:beforeLines="0" w:line="560" w:lineRule="exact"/>
        <w:ind w:firstLine="640"/>
        <w:rPr>
          <w:rFonts w:ascii="黑体" w:hAnsi="黑体" w:eastAsia="黑体"/>
          <w:color w:val="000000" w:themeColor="text1"/>
          <w:sz w:val="32"/>
          <w:szCs w:val="32"/>
        </w:rPr>
      </w:pPr>
      <w:bookmarkStart w:id="3" w:name="_Toc18134"/>
      <w:r>
        <w:rPr>
          <w:rFonts w:hint="eastAsia" w:ascii="黑体" w:hAnsi="黑体" w:eastAsia="黑体"/>
          <w:color w:val="000000" w:themeColor="text1"/>
          <w:sz w:val="32"/>
          <w:szCs w:val="32"/>
        </w:rPr>
        <w:t>二、医疗器械许可及备案情况</w:t>
      </w:r>
    </w:p>
    <w:p w14:paraId="01A5AB91">
      <w:pPr>
        <w:pStyle w:val="21"/>
        <w:spacing w:beforeLines="0" w:line="560" w:lineRule="exact"/>
        <w:ind w:left="420" w:firstLine="320" w:firstLineChars="1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（一）生产企业</w:t>
      </w:r>
    </w:p>
    <w:p w14:paraId="4D85C25F">
      <w:pPr>
        <w:spacing w:beforeLines="0" w:line="560" w:lineRule="exact"/>
        <w:ind w:firstLine="643"/>
        <w:jc w:val="both"/>
        <w:rPr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生产企业情况：</w:t>
      </w:r>
      <w:r>
        <w:rPr>
          <w:rFonts w:hint="eastAsia"/>
          <w:color w:val="000000" w:themeColor="text1"/>
          <w:sz w:val="32"/>
          <w:szCs w:val="32"/>
        </w:rPr>
        <w:t>截止2019年1季度末，生产一类医疗器械产品的企业数量是25家，二类139家，三类8家。生产企业总数155家，其中：仅无菌10家；仅植入性1家；无菌/入性1家；仅体外诊断试剂（IVD）3家；定制式义齿102家。</w:t>
      </w:r>
    </w:p>
    <w:p w14:paraId="02036A5D">
      <w:pPr>
        <w:spacing w:beforeLines="0" w:line="560" w:lineRule="exact"/>
        <w:ind w:firstLine="643"/>
        <w:jc w:val="both"/>
        <w:rPr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分类分级监管情况：</w:t>
      </w:r>
      <w:r>
        <w:rPr>
          <w:rFonts w:hint="eastAsia"/>
          <w:color w:val="000000" w:themeColor="text1"/>
          <w:sz w:val="32"/>
          <w:szCs w:val="32"/>
        </w:rPr>
        <w:t>一级监管生产企业数量4家，二级137家，三级22家，四级14家。</w:t>
      </w:r>
    </w:p>
    <w:p w14:paraId="47BDE946">
      <w:pPr>
        <w:spacing w:beforeLines="0" w:line="560" w:lineRule="exact"/>
        <w:ind w:firstLine="643"/>
        <w:jc w:val="both"/>
        <w:rPr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监管企业情况：</w:t>
      </w:r>
      <w:r>
        <w:rPr>
          <w:rFonts w:hint="eastAsia"/>
          <w:color w:val="000000" w:themeColor="text1"/>
          <w:sz w:val="32"/>
          <w:szCs w:val="32"/>
        </w:rPr>
        <w:t>重点监管企业总数27家，其中国家重点监管企业7家，省重点监管企业20家。</w:t>
      </w:r>
    </w:p>
    <w:p w14:paraId="4BDA7DE6">
      <w:pPr>
        <w:spacing w:beforeLines="0" w:line="560" w:lineRule="exact"/>
        <w:ind w:firstLine="643"/>
        <w:jc w:val="both"/>
        <w:rPr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许可情况：</w:t>
      </w:r>
      <w:r>
        <w:rPr>
          <w:rFonts w:hint="eastAsia"/>
          <w:color w:val="000000" w:themeColor="text1"/>
          <w:sz w:val="32"/>
          <w:szCs w:val="32"/>
        </w:rPr>
        <w:t>2019年1季度期末实有180件。全省新增医疗器械生产企业许可证7件，变更医疗器械生产企业许可证44件，延续医疗器械生产企业许可证9件，注销医疗器械生产企业许可证4件，补发医疗器械生产企业许可证1件。</w:t>
      </w:r>
    </w:p>
    <w:p w14:paraId="518D950D">
      <w:pPr>
        <w:spacing w:beforeLines="0" w:line="560" w:lineRule="exact"/>
        <w:ind w:firstLine="643"/>
        <w:jc w:val="both"/>
        <w:rPr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备案情况：</w:t>
      </w:r>
      <w:r>
        <w:rPr>
          <w:rFonts w:hint="eastAsia"/>
          <w:color w:val="000000" w:themeColor="text1"/>
          <w:sz w:val="32"/>
          <w:szCs w:val="32"/>
        </w:rPr>
        <w:t>2019年第1季度全省期末实有各类医疗器械备案63件，新增2件，变更3件。</w:t>
      </w:r>
    </w:p>
    <w:p w14:paraId="0F0B55DC">
      <w:pPr>
        <w:pStyle w:val="21"/>
        <w:spacing w:beforeLines="0" w:line="560" w:lineRule="exact"/>
        <w:ind w:left="420" w:firstLine="0" w:firstLineChars="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（二）经营企业</w:t>
      </w:r>
    </w:p>
    <w:p w14:paraId="0D26282A">
      <w:pPr>
        <w:spacing w:beforeLines="0" w:line="560" w:lineRule="exact"/>
        <w:ind w:firstLine="643"/>
        <w:jc w:val="both"/>
        <w:rPr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经营企业情况：</w:t>
      </w:r>
      <w:r>
        <w:rPr>
          <w:rFonts w:hint="eastAsia"/>
          <w:color w:val="000000" w:themeColor="text1"/>
          <w:sz w:val="32"/>
          <w:szCs w:val="32"/>
        </w:rPr>
        <w:t>截止2019年1季度末，仅从事第二类医疗器械经营的企业3492家，仅从事第三类医疗器械经营的企业1093家，同时从事第二、三类医疗器械经营的企业6248家。仅从事无菌医疗器械经营的企业数量有449家，仅从事植入性医疗器械经营的企业有29家，同时从事无菌和植入性医疗器械经营的企业有497家，为其他医疗器械生产经营企业提供贮存、配送服务的医疗器械经营的企业有15家。</w:t>
      </w:r>
    </w:p>
    <w:p w14:paraId="31641867">
      <w:pPr>
        <w:spacing w:beforeLines="0" w:line="560" w:lineRule="exact"/>
        <w:ind w:firstLine="643"/>
        <w:jc w:val="both"/>
        <w:rPr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许可情况：</w:t>
      </w:r>
      <w:r>
        <w:rPr>
          <w:rFonts w:hint="eastAsia"/>
          <w:color w:val="000000" w:themeColor="text1"/>
          <w:sz w:val="32"/>
          <w:szCs w:val="32"/>
        </w:rPr>
        <w:t>2019年1季度期末实有7341件。全省新增医疗器械经营企业许可证339件，变更医疗器械经营企业许可证877件，延续医疗器械经营企业许可证13件，注销医疗器械经营企业许可证29件。</w:t>
      </w:r>
    </w:p>
    <w:p w14:paraId="60821F7E">
      <w:pPr>
        <w:pStyle w:val="2"/>
        <w:spacing w:beforeLines="0" w:line="560" w:lineRule="exact"/>
        <w:ind w:left="640" w:hanging="640"/>
        <w:rPr>
          <w:rStyle w:val="16"/>
          <w:b w:val="0"/>
          <w:bCs w:val="0"/>
          <w:sz w:val="32"/>
          <w:szCs w:val="32"/>
        </w:rPr>
      </w:pPr>
      <w:bookmarkStart w:id="4" w:name="_Toc23782"/>
      <w:bookmarkStart w:id="5" w:name="_Toc31891"/>
    </w:p>
    <w:p w14:paraId="15831AE4">
      <w:pPr>
        <w:pStyle w:val="2"/>
        <w:spacing w:beforeLines="0" w:line="560" w:lineRule="exact"/>
        <w:ind w:left="880" w:hanging="880"/>
        <w:rPr>
          <w:rStyle w:val="16"/>
          <w:rFonts w:ascii="方正小标宋_GBK" w:eastAsia="方正小标宋_GBK"/>
          <w:b w:val="0"/>
          <w:bCs w:val="0"/>
          <w:sz w:val="44"/>
          <w:szCs w:val="44"/>
        </w:rPr>
      </w:pPr>
      <w:r>
        <w:rPr>
          <w:rStyle w:val="16"/>
          <w:rFonts w:hint="eastAsia" w:ascii="方正小标宋_GBK" w:eastAsia="方正小标宋_GBK"/>
          <w:b w:val="0"/>
          <w:bCs w:val="0"/>
          <w:sz w:val="44"/>
          <w:szCs w:val="44"/>
        </w:rPr>
        <w:t>第二部分     执法监督情况</w:t>
      </w:r>
      <w:bookmarkEnd w:id="4"/>
      <w:bookmarkEnd w:id="5"/>
    </w:p>
    <w:p w14:paraId="44FDF902">
      <w:pPr>
        <w:spacing w:before="156"/>
      </w:pPr>
    </w:p>
    <w:p w14:paraId="4D8FD52A">
      <w:pPr>
        <w:pStyle w:val="3"/>
        <w:spacing w:beforeLines="0" w:line="560" w:lineRule="exact"/>
        <w:ind w:firstLine="640"/>
        <w:rPr>
          <w:rFonts w:ascii="黑体" w:hAnsi="黑体" w:eastAsia="黑体"/>
          <w:b w:val="0"/>
          <w:sz w:val="32"/>
        </w:rPr>
      </w:pPr>
      <w:bookmarkStart w:id="6" w:name="_Toc1995"/>
      <w:bookmarkStart w:id="7" w:name="_Toc20193"/>
      <w:bookmarkStart w:id="8" w:name="_Toc3947"/>
      <w:r>
        <w:rPr>
          <w:rFonts w:hint="eastAsia" w:ascii="黑体" w:hAnsi="黑体" w:eastAsia="黑体"/>
          <w:b w:val="0"/>
          <w:sz w:val="32"/>
        </w:rPr>
        <w:t>一、投诉举报情况</w:t>
      </w:r>
      <w:bookmarkEnd w:id="6"/>
      <w:bookmarkEnd w:id="7"/>
      <w:bookmarkEnd w:id="8"/>
    </w:p>
    <w:p w14:paraId="27BB4186">
      <w:pPr>
        <w:spacing w:beforeLines="0" w:line="560" w:lineRule="exact"/>
        <w:ind w:firstLine="64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2019年第1季度全省各级药品监督管理机构本期共接到各类投诉举报564件，立案18件，结案23件，</w:t>
      </w:r>
      <w:r>
        <w:rPr>
          <w:sz w:val="32"/>
          <w:szCs w:val="32"/>
        </w:rPr>
        <w:t>移送其他部门</w:t>
      </w:r>
      <w:r>
        <w:rPr>
          <w:rFonts w:hint="eastAsia"/>
          <w:sz w:val="32"/>
          <w:szCs w:val="32"/>
        </w:rPr>
        <w:t>2件。其中：</w:t>
      </w:r>
    </w:p>
    <w:p w14:paraId="265732E5">
      <w:pPr>
        <w:spacing w:beforeLines="0" w:line="560" w:lineRule="exact"/>
        <w:ind w:firstLine="640"/>
        <w:rPr>
          <w:color w:val="000000" w:themeColor="text1"/>
          <w:sz w:val="32"/>
          <w:szCs w:val="32"/>
        </w:rPr>
      </w:pPr>
      <w:r>
        <w:rPr>
          <w:rFonts w:hint="eastAsia"/>
          <w:sz w:val="32"/>
          <w:szCs w:val="32"/>
        </w:rPr>
        <w:t>接到药品投诉举报420件，</w:t>
      </w:r>
      <w:r>
        <w:rPr>
          <w:rFonts w:hint="eastAsia"/>
          <w:color w:val="000000" w:themeColor="text1"/>
          <w:sz w:val="32"/>
          <w:szCs w:val="32"/>
        </w:rPr>
        <w:t>占投诉举报总量的74.5%，同比下降50.1%，立案12件，结案14件，移交司法机关2件。</w:t>
      </w:r>
    </w:p>
    <w:p w14:paraId="46DEE9AA">
      <w:pPr>
        <w:spacing w:beforeLines="0" w:line="560" w:lineRule="exact"/>
        <w:ind w:firstLine="640"/>
        <w:jc w:val="both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接到化妆品投诉举报85件，占投诉举报总量的15.1%，同比下降51%，立案5件，结案5件。</w:t>
      </w:r>
    </w:p>
    <w:p w14:paraId="7F95CA9B">
      <w:pPr>
        <w:spacing w:beforeLines="0" w:line="560" w:lineRule="exact"/>
        <w:ind w:firstLine="640"/>
        <w:jc w:val="both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接到医疗器械投诉举报59件，占投诉举报总量的10.5%，同比下降55%，立案1件，结案4件。</w:t>
      </w:r>
    </w:p>
    <w:p w14:paraId="6F62C8FA">
      <w:pPr>
        <w:spacing w:before="156"/>
      </w:pPr>
      <w:r>
        <w:drawing>
          <wp:inline distT="0" distB="0" distL="0" distR="0">
            <wp:extent cx="4572000" cy="3648075"/>
            <wp:effectExtent l="19050" t="0" r="19050" b="9524"/>
            <wp:docPr id="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bookmarkEnd w:id="2"/>
    <w:bookmarkEnd w:id="3"/>
    <w:p w14:paraId="16CCCBB0">
      <w:pPr>
        <w:spacing w:beforeLines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投诉举报信息接收渠道中，电话投诉494件（药品376件，医疗器械45件，化妆品73件）。网络投诉23件（药品10件，医疗器械7件，化妆品6件）。信件投诉</w:t>
      </w:r>
      <w:bookmarkStart w:id="12" w:name="_GoBack"/>
      <w:bookmarkEnd w:id="12"/>
      <w:r>
        <w:rPr>
          <w:rFonts w:hint="eastAsia" w:ascii="仿宋_GB2312" w:eastAsia="仿宋_GB2312"/>
          <w:sz w:val="32"/>
          <w:szCs w:val="32"/>
        </w:rPr>
        <w:t>18件（药品11件，医疗器械4件，化妆品3件）。走访6件，其他21件（药品15件，医疗器械2件，化妆品4件），其中电话投诉占主要比例，占总投诉量的87.9%。</w:t>
      </w:r>
    </w:p>
    <w:p w14:paraId="05B2B741">
      <w:pPr>
        <w:spacing w:before="156"/>
      </w:pPr>
      <w:r>
        <w:drawing>
          <wp:inline distT="0" distB="0" distL="0" distR="0">
            <wp:extent cx="4572000" cy="2743200"/>
            <wp:effectExtent l="19050" t="0" r="19050" b="0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F643A5E">
      <w:pPr>
        <w:spacing w:beforeLines="0" w:line="560" w:lineRule="exact"/>
        <w:ind w:firstLine="64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接收投诉举报信息分类中，</w:t>
      </w:r>
      <w:r>
        <w:rPr>
          <w:rFonts w:hint="eastAsia" w:ascii="仿宋_GB2312" w:hAnsi="仿宋" w:eastAsia="仿宋_GB2312" w:cs="仿宋"/>
          <w:b/>
          <w:sz w:val="32"/>
          <w:szCs w:val="32"/>
        </w:rPr>
        <w:t>投诉举报类：</w:t>
      </w:r>
      <w:r>
        <w:rPr>
          <w:rFonts w:hint="eastAsia" w:ascii="仿宋_GB2312" w:hAnsi="仿宋" w:eastAsia="仿宋_GB2312" w:cs="仿宋"/>
          <w:sz w:val="32"/>
          <w:szCs w:val="32"/>
        </w:rPr>
        <w:t>受理350件（药品246件，医疗器械43件，化妆品61件），不受理25件（药品25件）。</w:t>
      </w:r>
      <w:r>
        <w:rPr>
          <w:rFonts w:hint="eastAsia" w:ascii="仿宋_GB2312" w:hAnsi="仿宋" w:eastAsia="仿宋_GB2312" w:cs="仿宋"/>
          <w:b/>
          <w:sz w:val="32"/>
          <w:szCs w:val="32"/>
        </w:rPr>
        <w:t>咨询类</w:t>
      </w:r>
      <w:r>
        <w:rPr>
          <w:rFonts w:hint="eastAsia" w:ascii="仿宋_GB2312" w:hAnsi="仿宋" w:eastAsia="仿宋_GB2312" w:cs="仿宋"/>
          <w:sz w:val="32"/>
          <w:szCs w:val="32"/>
        </w:rPr>
        <w:t>187件（药品146件，医疗器械16件，化妆品25件）。</w:t>
      </w:r>
    </w:p>
    <w:p w14:paraId="68496338">
      <w:pPr>
        <w:spacing w:beforeLines="0" w:line="560" w:lineRule="exact"/>
        <w:ind w:firstLine="64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受理投诉举报环节中，生产环节17个（药品14个，医疗器械3个），流通环节320个（药品223个，医疗器械42个，化妆品55个），消费/使用环节31个（药品19个，医疗器械3个，化妆品9个），其他环节7个（药品7个），其中流通环节占比最高为85.3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5F6F3FD7">
      <w:pPr>
        <w:spacing w:before="156"/>
      </w:pPr>
      <w:r>
        <w:drawing>
          <wp:inline distT="0" distB="0" distL="0" distR="0">
            <wp:extent cx="4572000" cy="2743200"/>
            <wp:effectExtent l="19050" t="0" r="19050" b="0"/>
            <wp:docPr id="1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A7C6068">
      <w:pPr>
        <w:pStyle w:val="3"/>
        <w:spacing w:beforeLines="0" w:line="560" w:lineRule="exact"/>
        <w:ind w:firstLine="640"/>
        <w:rPr>
          <w:rFonts w:ascii="黑体" w:hAnsi="黑体" w:eastAsia="黑体"/>
          <w:b w:val="0"/>
          <w:bCs w:val="0"/>
          <w:sz w:val="32"/>
        </w:rPr>
      </w:pPr>
      <w:bookmarkStart w:id="9" w:name="_Toc17494"/>
      <w:bookmarkStart w:id="10" w:name="_Toc10169"/>
      <w:r>
        <w:rPr>
          <w:rFonts w:hint="eastAsia" w:ascii="黑体" w:hAnsi="黑体" w:eastAsia="黑体"/>
          <w:b w:val="0"/>
          <w:bCs w:val="0"/>
          <w:sz w:val="32"/>
        </w:rPr>
        <w:t xml:space="preserve"> 二、日常监管和案件查处情况</w:t>
      </w:r>
    </w:p>
    <w:bookmarkEnd w:id="9"/>
    <w:bookmarkEnd w:id="10"/>
    <w:p w14:paraId="31B1A1D1">
      <w:pPr>
        <w:pStyle w:val="4"/>
        <w:spacing w:beforeLines="0" w:line="560" w:lineRule="exact"/>
        <w:ind w:firstLine="640"/>
        <w:jc w:val="both"/>
        <w:rPr>
          <w:rFonts w:ascii="楷体_GB2312" w:eastAsia="楷体_GB2312"/>
          <w:b w:val="0"/>
          <w:color w:val="000000" w:themeColor="text1"/>
          <w:sz w:val="32"/>
        </w:rPr>
      </w:pPr>
      <w:bookmarkStart w:id="11" w:name="_Toc2564"/>
      <w:r>
        <w:rPr>
          <w:rFonts w:hint="eastAsia" w:ascii="楷体_GB2312" w:eastAsia="楷体_GB2312"/>
          <w:b w:val="0"/>
          <w:color w:val="000000" w:themeColor="text1"/>
          <w:sz w:val="32"/>
        </w:rPr>
        <w:t>（一）日常监管情况</w:t>
      </w:r>
      <w:bookmarkEnd w:id="11"/>
    </w:p>
    <w:p w14:paraId="705DE436">
      <w:pPr>
        <w:pStyle w:val="5"/>
        <w:spacing w:line="560" w:lineRule="exact"/>
        <w:ind w:firstLine="643" w:firstLineChars="20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1.药品生产和经营企业</w:t>
      </w:r>
    </w:p>
    <w:p w14:paraId="51B05F32">
      <w:pPr>
        <w:spacing w:beforeLines="0" w:line="560" w:lineRule="exact"/>
        <w:ind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2019年第1季度，全省共检查药品生产企业109家次，其中含基本药物的生产企业有3家次，含血液制品、注射剂等高风险品种的生产企业35家次。出动检查人员376人次，发现违法违规的生产企业3家次，责令整改的生产企业3家次。</w:t>
      </w:r>
    </w:p>
    <w:p w14:paraId="15E78984">
      <w:pPr>
        <w:spacing w:beforeLines="0" w:line="560" w:lineRule="exact"/>
        <w:ind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2019年第1季度，全省共检查药品批发企业188家次，发现违法违规的经营企业12家次，未遵守GSP的经营企业8家次，涉及劣药的经营企业1家次，无照经营的经营企业1家次，撤销GSP证书的经营企业3家次，完成整改的经营企业14家次，其他类型的经营企业2家次。</w:t>
      </w:r>
    </w:p>
    <w:p w14:paraId="6243268D">
      <w:pPr>
        <w:spacing w:beforeLines="0" w:line="560" w:lineRule="exact"/>
        <w:ind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2019年第1季度，全省共检查药品零售企业4785家次，发现违法违规的经营企业434家次，未遵守GSP的经营企业279家次，未遵守GSP关于执业药师配备使用要求的经营企业35家次，涉及劣药的经营企业11家次，无照经营的经营企业1家次，非法渠道购进药品的经营企业9家次，完成整改的经营企业400家次，其他类型的经营企业161家次。</w:t>
      </w:r>
    </w:p>
    <w:p w14:paraId="2D390D87">
      <w:pPr>
        <w:pStyle w:val="5"/>
        <w:spacing w:line="560" w:lineRule="exact"/>
        <w:ind w:firstLine="643" w:firstLineChars="20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2.医疗器械生产和经营企业</w:t>
      </w:r>
    </w:p>
    <w:p w14:paraId="19558D05">
      <w:pPr>
        <w:spacing w:beforeLines="0" w:line="560" w:lineRule="exact"/>
        <w:ind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2019年第1季度，全省共检查医疗器械生产企业173家次，其中检查一类医疗器械生产企业48家次；二类医疗器械生产企业95家次，其中未通过检查1家次；三类医疗器械生产企业30家次。检查国家重点监管企业2家次，省重点监管企业5家次。全面检查高风险医疗器械生产企业15家，其中含植入性医疗器械的生产企业1家，含无菌医疗器械的生产企业4家次，第三类医疗器械的生产企业10家。医疗器械生产企业飞行检查23家次。存在违法违规的生产企业1家次。完成整改的生产企业10家次。</w:t>
      </w:r>
    </w:p>
    <w:p w14:paraId="3FD25FEE">
      <w:pPr>
        <w:spacing w:beforeLines="0" w:line="560" w:lineRule="exact"/>
        <w:ind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2019年第1季度，共检查经营企业、使用单位2788家次，省级及以下组织医疗器械经营企业飞行检查65家次，存在违法违规的企业或单位185家次，移交稽查部门的企业或单位1家。</w:t>
      </w:r>
    </w:p>
    <w:p w14:paraId="6CBA9FDF">
      <w:pPr>
        <w:spacing w:beforeLines="0" w:line="560" w:lineRule="exact"/>
        <w:ind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全省共检查医疗器械经营企业1633家次，存在违规行为的经营企业74家次，完成整改的经营企业115家次，移交稽查部门的经营企业1家。</w:t>
      </w:r>
    </w:p>
    <w:p w14:paraId="7E285990">
      <w:pPr>
        <w:spacing w:beforeLines="0" w:line="560" w:lineRule="exact"/>
        <w:ind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全省共检查医疗器械使用单位1152家次，存在违法违规的单位59家次，完成整改的单位70家次。</w:t>
      </w:r>
    </w:p>
    <w:p w14:paraId="2086157C">
      <w:pPr>
        <w:pStyle w:val="5"/>
        <w:spacing w:line="560" w:lineRule="exact"/>
        <w:ind w:firstLine="643" w:firstLineChars="20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3.化妆品生产企业</w:t>
      </w:r>
    </w:p>
    <w:p w14:paraId="5F6C8C90">
      <w:pPr>
        <w:spacing w:beforeLines="0" w:line="560" w:lineRule="exact"/>
        <w:ind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2019年第1季度，全省共检查化妆品生产企业70家114家次，出动检查人员545人次，检查化妆品品种3509种次，抽验化妆品批次1批次，发现生产记录缺失、不完整2家。</w:t>
      </w:r>
    </w:p>
    <w:p w14:paraId="0269A5BB">
      <w:pPr>
        <w:spacing w:beforeLines="0" w:line="560" w:lineRule="exact"/>
        <w:ind w:firstLine="640"/>
        <w:jc w:val="both"/>
        <w:rPr>
          <w:rStyle w:val="16"/>
          <w:rFonts w:ascii="楷体_GB2312" w:eastAsia="楷体_GB2312"/>
          <w:b w:val="0"/>
          <w:sz w:val="32"/>
          <w:szCs w:val="32"/>
        </w:rPr>
      </w:pPr>
      <w:r>
        <w:rPr>
          <w:rStyle w:val="16"/>
          <w:rFonts w:hint="eastAsia" w:ascii="楷体_GB2312" w:eastAsia="楷体_GB2312"/>
          <w:b w:val="0"/>
          <w:sz w:val="32"/>
          <w:szCs w:val="32"/>
        </w:rPr>
        <w:t>（二）案件查处情况</w:t>
      </w:r>
    </w:p>
    <w:p w14:paraId="79B5CCE1">
      <w:pPr>
        <w:spacing w:beforeLines="0" w:line="560" w:lineRule="exact"/>
        <w:ind w:firstLine="643"/>
        <w:jc w:val="both"/>
        <w:rPr>
          <w:rStyle w:val="16"/>
          <w:rFonts w:ascii="仿宋_GB2312" w:eastAsia="仿宋_GB2312"/>
          <w:sz w:val="32"/>
          <w:szCs w:val="32"/>
        </w:rPr>
      </w:pPr>
      <w:r>
        <w:rPr>
          <w:rStyle w:val="16"/>
          <w:rFonts w:hint="eastAsia" w:ascii="仿宋_GB2312" w:eastAsia="仿宋_GB2312"/>
          <w:sz w:val="32"/>
          <w:szCs w:val="32"/>
        </w:rPr>
        <w:t>1.违法药品案件查处情况</w:t>
      </w:r>
    </w:p>
    <w:p w14:paraId="34CDF4AA">
      <w:pPr>
        <w:spacing w:beforeLines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2019年第1季度，全省共查处药品案件197件，查处药品案件货值金额64.2万元，罚款金额98.08万元，没收违法所得金额11.34万元，行政处罚案件信息公开数38件，符合公开条件的行政处罚案件38件。</w:t>
      </w:r>
    </w:p>
    <w:p w14:paraId="6C51B0CA">
      <w:pPr>
        <w:spacing w:beforeLines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，生产假劣药4件，货值金额52.59万元，罚款金额59.17万元；按假药论处2件，货值金额45.95万元，罚款金额45.95万元。销售假劣药32件，货值金额0.78万元，罚款金额3.4万元；按假药论处2件，罚款金额0.21万元。劣药9件，货值金额0.22万元，罚款金额2.02万元；按劣药论处21件，货值金额0.56万元，罚款金额1.17万元。</w:t>
      </w:r>
    </w:p>
    <w:p w14:paraId="72057F84">
      <w:pPr>
        <w:spacing w:beforeLines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从案件来源来看，来源于日常监管和专项检查151件，占比76.6%；来源于监督抽验18件，占比9.1%；来源于投诉举报11件，占比5.6%；来源于执法检验7件，占比3.6%；其他7件，占比3.6%；其他部门通报3件，占比1.5%。</w:t>
      </w:r>
    </w:p>
    <w:p w14:paraId="0F1FE60D">
      <w:pPr>
        <w:spacing w:beforeLines="0" w:line="560" w:lineRule="exact"/>
        <w:ind w:firstLine="643"/>
        <w:jc w:val="center"/>
        <w:rPr>
          <w:rStyle w:val="16"/>
          <w:rFonts w:ascii="仿宋_GB2312" w:eastAsia="仿宋_GB2312"/>
          <w:sz w:val="32"/>
          <w:szCs w:val="32"/>
        </w:rPr>
      </w:pPr>
    </w:p>
    <w:p w14:paraId="2645B66D">
      <w:pPr>
        <w:spacing w:before="156"/>
        <w:ind w:firstLine="140" w:firstLineChars="50"/>
      </w:pPr>
      <w:r>
        <w:drawing>
          <wp:inline distT="0" distB="0" distL="0" distR="0">
            <wp:extent cx="4943475" cy="3390900"/>
            <wp:effectExtent l="19050" t="0" r="9525" b="0"/>
            <wp:docPr id="53" name="图表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DE25ABB">
      <w:pPr>
        <w:spacing w:beforeLines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从货值来看，5万元以下的案件194件，5-20万元的案件2件，20-50万元的是1件。</w:t>
      </w:r>
    </w:p>
    <w:p w14:paraId="499825B3">
      <w:pPr>
        <w:spacing w:beforeLines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从违法主体来划分，违法主体是经营企业的有140件，占比71.1%（居一位）；违法主体是医疗机构的34件，占比17.3%（居二位）；违法主体是生产企业的15件，占比7.6%；违法主体是其他违法主体的8件，占比4.1%。</w:t>
      </w:r>
    </w:p>
    <w:p w14:paraId="0ED3E2FB">
      <w:pPr>
        <w:spacing w:before="156"/>
        <w:ind w:firstLine="0" w:firstLineChars="0"/>
      </w:pPr>
      <w:r>
        <w:drawing>
          <wp:inline distT="0" distB="0" distL="0" distR="0">
            <wp:extent cx="5274310" cy="3376295"/>
            <wp:effectExtent l="19050" t="0" r="21590" b="0"/>
            <wp:docPr id="38" name="图表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0B9510D">
      <w:pPr>
        <w:spacing w:beforeLines="0" w:line="560" w:lineRule="exact"/>
        <w:ind w:firstLine="0" w:firstLineChars="0"/>
        <w:rPr>
          <w:rFonts w:ascii="仿宋_GB2312" w:eastAsia="仿宋_GB2312"/>
          <w:sz w:val="32"/>
          <w:szCs w:val="32"/>
        </w:rPr>
      </w:pPr>
    </w:p>
    <w:p w14:paraId="2D6917A1">
      <w:pPr>
        <w:pStyle w:val="5"/>
        <w:spacing w:line="560" w:lineRule="exact"/>
        <w:ind w:firstLine="643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2.医疗器械案件查处情况</w:t>
      </w:r>
    </w:p>
    <w:p w14:paraId="3B678AD7">
      <w:pPr>
        <w:spacing w:beforeLines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2019年第1季度查处医疗器械案件18件，货值金额0.33万元，罚款金额28.7万元，没收违法所得金额0.06万元，行政处罚案件信息公开数5件，符合公开条件的行政处罚案件5件。</w:t>
      </w:r>
    </w:p>
    <w:p w14:paraId="03348F7A">
      <w:pPr>
        <w:spacing w:beforeLines="0" w:line="560" w:lineRule="exact"/>
        <w:ind w:firstLine="640"/>
        <w:jc w:val="both"/>
        <w:rPr>
          <w:rStyle w:val="16"/>
          <w:rFonts w:ascii="仿宋_GB2312" w:eastAsia="仿宋_GB2312"/>
          <w:b w:val="0"/>
          <w:sz w:val="32"/>
          <w:szCs w:val="32"/>
        </w:rPr>
      </w:pPr>
      <w:r>
        <w:rPr>
          <w:rStyle w:val="16"/>
          <w:rFonts w:hint="eastAsia" w:ascii="仿宋_GB2312" w:eastAsia="仿宋_GB2312"/>
          <w:b w:val="0"/>
          <w:sz w:val="32"/>
          <w:szCs w:val="32"/>
        </w:rPr>
        <w:t>其中涉及医疗器械质量2件，货值金额0.01万元；违反证照管理6件，货值金额0.29万元；违反流通秩序1件，货值金额0元；其他案件9件，货值金额0.03万元；</w:t>
      </w:r>
    </w:p>
    <w:p w14:paraId="70F7695A">
      <w:pPr>
        <w:spacing w:beforeLines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从案件来源来看，主要来源是日常监管和专项检查13件（占比72.2%），居第一位；投诉举报是3件，监督抽验是1件，执法检验1件。</w:t>
      </w:r>
    </w:p>
    <w:p w14:paraId="59B98205">
      <w:pPr>
        <w:spacing w:before="156"/>
        <w:jc w:val="both"/>
      </w:pPr>
    </w:p>
    <w:p w14:paraId="37CAA058">
      <w:pPr>
        <w:spacing w:before="156"/>
      </w:pPr>
      <w:r>
        <w:drawing>
          <wp:inline distT="0" distB="0" distL="0" distR="0">
            <wp:extent cx="4572000" cy="2743200"/>
            <wp:effectExtent l="19050" t="0" r="19050" b="0"/>
            <wp:docPr id="41" name="图表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69388AC">
      <w:pPr>
        <w:spacing w:beforeLines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从货值来看，5万元以下的案件18件。</w:t>
      </w:r>
    </w:p>
    <w:p w14:paraId="0AB24F66">
      <w:pPr>
        <w:spacing w:beforeLines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从违法主体来看，违法主体是经营企业的9件（占比55.9%），居第一位；违法主体是医疗机构的6件（占比35.3%），居第二位；其他违法主体2件（占比2.8%）；违法主体是生产企业的1件（占比6.9%）。</w:t>
      </w:r>
    </w:p>
    <w:p w14:paraId="2D5734B6">
      <w:pPr>
        <w:spacing w:beforeLines="0" w:line="560" w:lineRule="exact"/>
        <w:ind w:firstLine="643"/>
        <w:jc w:val="both"/>
        <w:rPr>
          <w:rFonts w:ascii="仿宋_GB2312" w:hAnsi="Arial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Arial" w:eastAsia="仿宋_GB2312"/>
          <w:b/>
          <w:bCs/>
          <w:kern w:val="0"/>
          <w:sz w:val="32"/>
          <w:szCs w:val="32"/>
        </w:rPr>
        <w:t>3.化妆品案件查处情况</w:t>
      </w:r>
    </w:p>
    <w:p w14:paraId="228C1C9A">
      <w:pPr>
        <w:spacing w:beforeLines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2019年第1季度共查处化妆品案件26件，货值金额0.51万元，罚款金额1.62万元，没收违法所得金额0.1万元，责令停产停业1户。行政处罚案件信息公开数6件，符合公开条件的行政处罚案件6件。                      </w:t>
      </w:r>
    </w:p>
    <w:p w14:paraId="798433B0">
      <w:pPr>
        <w:spacing w:beforeLines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从案件来源来看，日常监管和专项检查是化妆品案件的主要来源20件（占比76.9%），监督抽验是4件；其他部门通报2件。</w:t>
      </w:r>
    </w:p>
    <w:p w14:paraId="34E7A970">
      <w:pPr>
        <w:spacing w:before="156"/>
      </w:pPr>
      <w:r>
        <w:drawing>
          <wp:inline distT="0" distB="0" distL="0" distR="0">
            <wp:extent cx="4581525" cy="2657475"/>
            <wp:effectExtent l="19050" t="0" r="9525" b="0"/>
            <wp:docPr id="40" name="图表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EE5DA30">
      <w:pPr>
        <w:spacing w:beforeLines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从货值来看，2万元以下的26件。</w:t>
      </w:r>
    </w:p>
    <w:p w14:paraId="308A4E91">
      <w:pPr>
        <w:spacing w:beforeLines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主要违法主体是化妆品经营企业20件（占比76.9%）；美容美发机构4件（占比15.4%）；其他2件（占比7.7%）。</w:t>
      </w:r>
    </w:p>
    <w:p w14:paraId="05CBAD41">
      <w:pPr>
        <w:spacing w:beforeLines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</w:p>
    <w:p w14:paraId="7E972117">
      <w:pPr>
        <w:spacing w:before="156"/>
        <w:rPr>
          <w:color w:val="FF0000"/>
        </w:rPr>
      </w:pPr>
    </w:p>
    <w:sectPr>
      <w:footerReference r:id="rId12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3E1D4">
    <w:pPr>
      <w:pStyle w:val="7"/>
      <w:spacing w:before="12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88943">
    <w:pPr>
      <w:pStyle w:val="7"/>
      <w:framePr w:wrap="around" w:vAnchor="text" w:hAnchor="margin" w:xAlign="center" w:y="1"/>
      <w:spacing w:before="120"/>
      <w:ind w:firstLine="360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 w14:paraId="664D2FA8">
    <w:pPr>
      <w:pStyle w:val="7"/>
      <w:spacing w:before="12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12D9A">
    <w:pPr>
      <w:pStyle w:val="7"/>
      <w:spacing w:before="120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37E60">
    <w:pPr>
      <w:pStyle w:val="7"/>
      <w:spacing w:before="120"/>
      <w:ind w:right="360" w:firstLine="360"/>
    </w:pPr>
    <w:r>
      <w:rPr>
        <w:rFonts w:hint="eastAsia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9602C">
    <w:pPr>
      <w:pStyle w:val="7"/>
      <w:spacing w:before="120"/>
      <w:ind w:right="360" w:firstLine="360"/>
    </w:pPr>
    <w:r>
      <w:pict>
        <v:rect id="文本框40" o:spid="_x0000_s1025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7301FF13">
                <w:pPr>
                  <w:snapToGrid w:val="0"/>
                  <w:spacing w:before="120"/>
                  <w:ind w:firstLine="36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 xml:space="preserve">第 </w:t>
                </w: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页</w:t>
                </w:r>
              </w:p>
            </w:txbxContent>
          </v:textbox>
        </v:rect>
      </w:pic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560"/>
      </w:pPr>
      <w:r>
        <w:separator/>
      </w:r>
    </w:p>
  </w:footnote>
  <w:footnote w:type="continuationSeparator" w:id="1">
    <w:p>
      <w:pPr>
        <w:spacing w:before="0" w:after="0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36ED3">
    <w:pPr>
      <w:pStyle w:val="8"/>
      <w:spacing w:before="120"/>
      <w:ind w:firstLine="420"/>
      <w:jc w:val="left"/>
      <w:rPr>
        <w:sz w:val="21"/>
        <w:szCs w:val="21"/>
      </w:rPr>
    </w:pPr>
    <w:r>
      <w:rPr>
        <w:rFonts w:hint="eastAsia"/>
        <w:sz w:val="21"/>
        <w:szCs w:val="21"/>
      </w:rPr>
      <w:t>山西省药品监督管理统计报告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83CBB">
    <w:pPr>
      <w:pStyle w:val="8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384AA">
    <w:pPr>
      <w:pStyle w:val="8"/>
      <w:spacing w:before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35E2"/>
    <w:rsid w:val="000107A8"/>
    <w:rsid w:val="0009175D"/>
    <w:rsid w:val="000C4D5C"/>
    <w:rsid w:val="00134A79"/>
    <w:rsid w:val="0015198D"/>
    <w:rsid w:val="001635E2"/>
    <w:rsid w:val="001C2BA3"/>
    <w:rsid w:val="001D3F88"/>
    <w:rsid w:val="0021438C"/>
    <w:rsid w:val="002338A4"/>
    <w:rsid w:val="00234838"/>
    <w:rsid w:val="0025118A"/>
    <w:rsid w:val="002646F8"/>
    <w:rsid w:val="002E79FD"/>
    <w:rsid w:val="00313B61"/>
    <w:rsid w:val="003802C0"/>
    <w:rsid w:val="0039366B"/>
    <w:rsid w:val="004204A7"/>
    <w:rsid w:val="00443010"/>
    <w:rsid w:val="004571F4"/>
    <w:rsid w:val="00482551"/>
    <w:rsid w:val="004C7265"/>
    <w:rsid w:val="004E6327"/>
    <w:rsid w:val="00546725"/>
    <w:rsid w:val="0055352F"/>
    <w:rsid w:val="005779D9"/>
    <w:rsid w:val="005874FB"/>
    <w:rsid w:val="005D2540"/>
    <w:rsid w:val="00641DEC"/>
    <w:rsid w:val="00646812"/>
    <w:rsid w:val="00646C5A"/>
    <w:rsid w:val="00667300"/>
    <w:rsid w:val="0067078C"/>
    <w:rsid w:val="006A6700"/>
    <w:rsid w:val="006B2F0D"/>
    <w:rsid w:val="006C0B8E"/>
    <w:rsid w:val="006D3A90"/>
    <w:rsid w:val="006F107F"/>
    <w:rsid w:val="00714DF9"/>
    <w:rsid w:val="007A0698"/>
    <w:rsid w:val="007A3B2B"/>
    <w:rsid w:val="007B2575"/>
    <w:rsid w:val="007D550B"/>
    <w:rsid w:val="0082432D"/>
    <w:rsid w:val="00830C7A"/>
    <w:rsid w:val="00880DC4"/>
    <w:rsid w:val="00882400"/>
    <w:rsid w:val="009103BB"/>
    <w:rsid w:val="00914BDB"/>
    <w:rsid w:val="00A51DC8"/>
    <w:rsid w:val="00AA032C"/>
    <w:rsid w:val="00B22631"/>
    <w:rsid w:val="00B364D8"/>
    <w:rsid w:val="00B64CAF"/>
    <w:rsid w:val="00BA17BF"/>
    <w:rsid w:val="00BC1C65"/>
    <w:rsid w:val="00C508C4"/>
    <w:rsid w:val="00C80EFB"/>
    <w:rsid w:val="00C84591"/>
    <w:rsid w:val="00CD40EF"/>
    <w:rsid w:val="00D04F2D"/>
    <w:rsid w:val="00D23770"/>
    <w:rsid w:val="00D85B40"/>
    <w:rsid w:val="00DA2108"/>
    <w:rsid w:val="00DB3926"/>
    <w:rsid w:val="00DB6F6B"/>
    <w:rsid w:val="00E23911"/>
    <w:rsid w:val="00E36467"/>
    <w:rsid w:val="00E7771C"/>
    <w:rsid w:val="00E834C2"/>
    <w:rsid w:val="00E91FCF"/>
    <w:rsid w:val="00E9609B"/>
    <w:rsid w:val="00EB57CE"/>
    <w:rsid w:val="00EC7AE3"/>
    <w:rsid w:val="00ED34F7"/>
    <w:rsid w:val="00EF41BD"/>
    <w:rsid w:val="00F864F0"/>
    <w:rsid w:val="00FC271B"/>
    <w:rsid w:val="7F39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50"/>
      <w:ind w:firstLine="560" w:firstLineChars="200"/>
    </w:pPr>
    <w:rPr>
      <w:rFonts w:ascii="Times New Roman" w:hAnsi="Times New Roman" w:eastAsia="仿宋" w:cs="Times New Roman"/>
      <w:kern w:val="2"/>
      <w:sz w:val="28"/>
      <w:szCs w:val="20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tabs>
        <w:tab w:val="left" w:pos="0"/>
      </w:tabs>
      <w:adjustRightInd w:val="0"/>
      <w:snapToGrid w:val="0"/>
      <w:spacing w:line="240" w:lineRule="atLeast"/>
      <w:ind w:left="560" w:hanging="560" w:hangingChars="200"/>
      <w:jc w:val="center"/>
      <w:outlineLvl w:val="0"/>
    </w:pPr>
    <w:rPr>
      <w:rFonts w:eastAsia="黑体"/>
      <w:b/>
      <w:bCs/>
      <w:kern w:val="44"/>
      <w:szCs w:val="36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line="240" w:lineRule="atLeast"/>
      <w:outlineLvl w:val="1"/>
    </w:pPr>
    <w:rPr>
      <w:rFonts w:ascii="Arial" w:hAnsi="Arial" w:eastAsia="楷体"/>
      <w:b/>
      <w:bCs/>
      <w:kern w:val="0"/>
      <w:sz w:val="20"/>
      <w:szCs w:val="32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outlineLvl w:val="2"/>
    </w:pPr>
    <w:rPr>
      <w:rFonts w:eastAsia="宋体"/>
      <w:b/>
      <w:bCs/>
      <w:kern w:val="0"/>
      <w:sz w:val="20"/>
      <w:szCs w:val="32"/>
    </w:rPr>
  </w:style>
  <w:style w:type="paragraph" w:styleId="5">
    <w:name w:val="heading 4"/>
    <w:basedOn w:val="1"/>
    <w:next w:val="1"/>
    <w:link w:val="19"/>
    <w:qFormat/>
    <w:uiPriority w:val="0"/>
    <w:pPr>
      <w:keepNext/>
      <w:keepLines/>
      <w:adjustRightInd w:val="0"/>
      <w:snapToGrid w:val="0"/>
      <w:spacing w:beforeLines="0"/>
      <w:ind w:firstLine="0" w:firstLineChars="0"/>
      <w:outlineLvl w:val="3"/>
    </w:pPr>
    <w:rPr>
      <w:rFonts w:ascii="Arial" w:hAnsi="Arial"/>
      <w:b/>
      <w:bCs/>
      <w:kern w:val="0"/>
      <w:sz w:val="20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2"/>
    <w:link w:val="2"/>
    <w:qFormat/>
    <w:uiPriority w:val="0"/>
    <w:rPr>
      <w:rFonts w:ascii="Times New Roman" w:hAnsi="Times New Roman" w:eastAsia="黑体" w:cs="Times New Roman"/>
      <w:b/>
      <w:bCs/>
      <w:kern w:val="44"/>
      <w:sz w:val="28"/>
      <w:szCs w:val="36"/>
    </w:rPr>
  </w:style>
  <w:style w:type="character" w:customStyle="1" w:styleId="17">
    <w:name w:val="标题 2 Char"/>
    <w:basedOn w:val="12"/>
    <w:link w:val="3"/>
    <w:qFormat/>
    <w:uiPriority w:val="0"/>
    <w:rPr>
      <w:rFonts w:ascii="Arial" w:hAnsi="Arial" w:eastAsia="楷体" w:cs="Times New Roman"/>
      <w:b/>
      <w:bCs/>
      <w:kern w:val="0"/>
      <w:sz w:val="20"/>
      <w:szCs w:val="32"/>
    </w:rPr>
  </w:style>
  <w:style w:type="character" w:customStyle="1" w:styleId="18">
    <w:name w:val="标题 3 Char"/>
    <w:basedOn w:val="12"/>
    <w:link w:val="4"/>
    <w:qFormat/>
    <w:uiPriority w:val="0"/>
    <w:rPr>
      <w:rFonts w:ascii="Times New Roman" w:hAnsi="Times New Roman" w:eastAsia="宋体" w:cs="Times New Roman"/>
      <w:b/>
      <w:bCs/>
      <w:kern w:val="0"/>
      <w:sz w:val="20"/>
      <w:szCs w:val="32"/>
    </w:rPr>
  </w:style>
  <w:style w:type="character" w:customStyle="1" w:styleId="19">
    <w:name w:val="标题 4 Char"/>
    <w:basedOn w:val="12"/>
    <w:link w:val="5"/>
    <w:qFormat/>
    <w:uiPriority w:val="0"/>
    <w:rPr>
      <w:rFonts w:ascii="Arial" w:hAnsi="Arial" w:eastAsia="仿宋" w:cs="Times New Roman"/>
      <w:b/>
      <w:bCs/>
      <w:kern w:val="0"/>
      <w:sz w:val="20"/>
      <w:szCs w:val="28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customXml" Target="../customXml/item1.xml"/><Relationship Id="rId21" Type="http://schemas.openxmlformats.org/officeDocument/2006/relationships/chart" Target="charts/chart7.xml"/><Relationship Id="rId20" Type="http://schemas.openxmlformats.org/officeDocument/2006/relationships/chart" Target="charts/chart6.xml"/><Relationship Id="rId2" Type="http://schemas.openxmlformats.org/officeDocument/2006/relationships/settings" Target="settings.xml"/><Relationship Id="rId19" Type="http://schemas.openxmlformats.org/officeDocument/2006/relationships/chart" Target="charts/chart5.xml"/><Relationship Id="rId18" Type="http://schemas.openxmlformats.org/officeDocument/2006/relationships/chart" Target="charts/chart4.xml"/><Relationship Id="rId17" Type="http://schemas.openxmlformats.org/officeDocument/2006/relationships/chart" Target="charts/chart3.xml"/><Relationship Id="rId16" Type="http://schemas.openxmlformats.org/officeDocument/2006/relationships/chart" Target="charts/chart2.xml"/><Relationship Id="rId15" Type="http://schemas.openxmlformats.org/officeDocument/2006/relationships/chart" Target="charts/chart1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Rar$DIa7628.12404\2017&#24180;&#31532;&#19968;&#23395;&#24230;&#27719;&#24635;&#25968;&#2545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2017&#24180;&#31532;&#19968;&#23395;&#24230;&#27719;&#24635;&#25968;&#25454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Rar$DIa7628.12404\2017&#24180;&#31532;&#19968;&#23395;&#24230;&#27719;&#24635;&#25968;&#25454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Rar$DIa7628.12404\2017&#24180;&#31532;&#19968;&#23395;&#24230;&#27719;&#24635;&#25968;&#2545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Rar$DIa7628.12404\2017&#24180;&#31532;&#19968;&#23395;&#24230;&#27719;&#24635;&#25968;&#2545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Rar$DIa7628.12404\2017&#24180;&#31532;&#19968;&#23395;&#24230;&#27719;&#24635;&#25968;&#2545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Rar$DIa7628.12404\2017&#24180;&#31532;&#19968;&#23395;&#24230;&#27719;&#24635;&#25968;&#2545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600"/>
              <a:t>2019</a:t>
            </a:r>
            <a:r>
              <a:rPr lang="zh-CN" altLang="en-US" sz="1600"/>
              <a:t>年第</a:t>
            </a:r>
            <a:r>
              <a:rPr lang="en-US" altLang="zh-CN" sz="1600"/>
              <a:t>1</a:t>
            </a:r>
            <a:r>
              <a:rPr lang="zh-CN" altLang="en-US" sz="1600"/>
              <a:t>季度投诉、立案、结案情况</a:t>
            </a:r>
            <a:r>
              <a:rPr lang="zh-CN" altLang="en-US" sz="1200">
                <a:latin typeface="仿宋_GB2312" panose="02010609030101010101" pitchFamily="3" charset="-122"/>
                <a:ea typeface="仿宋_GB2312" panose="02010609030101010101" pitchFamily="3" charset="-122"/>
              </a:rPr>
              <a:t>（单位：件）</a:t>
            </a:r>
            <a:endParaRPr lang="zh-CN" altLang="en-US" sz="1200">
              <a:latin typeface="仿宋_GB2312" panose="02010609030101010101" pitchFamily="3" charset="-122"/>
              <a:ea typeface="仿宋_GB2312" panose="02010609030101010101" pitchFamily="3" charset="-122"/>
            </a:endParaRPr>
          </a:p>
        </c:rich>
      </c:tx>
      <c:layout>
        <c:manualLayout>
          <c:xMode val="edge"/>
          <c:yMode val="edge"/>
          <c:x val="0.114638888888889"/>
          <c:y val="0.0242963688256495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Sheet2!$A$46</c:f>
              <c:strCache>
                <c:ptCount val="1"/>
                <c:pt idx="0">
                  <c:v>立案</c:v>
                </c:pt>
              </c:strCache>
            </c:strRef>
          </c:tx>
          <c:invertIfNegative val="0"/>
          <c:dLbls>
            <c:delete val="1"/>
          </c:dLbls>
          <c:cat>
            <c:strRef>
              <c:f>Sheet2!$B$44:$D$44</c:f>
              <c:strCache>
                <c:ptCount val="3"/>
                <c:pt idx="0">
                  <c:v>药品</c:v>
                </c:pt>
                <c:pt idx="1">
                  <c:v>化妆品</c:v>
                </c:pt>
                <c:pt idx="2">
                  <c:v>医疗器械</c:v>
                </c:pt>
              </c:strCache>
            </c:strRef>
          </c:cat>
          <c:val>
            <c:numRef>
              <c:f>Sheet2!$B$46:$D$46</c:f>
              <c:numCache>
                <c:formatCode>General</c:formatCode>
                <c:ptCount val="3"/>
                <c:pt idx="0">
                  <c:v>12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Sheet2!$A$47</c:f>
              <c:strCache>
                <c:ptCount val="1"/>
                <c:pt idx="0">
                  <c:v>结案</c:v>
                </c:pt>
              </c:strCache>
            </c:strRef>
          </c:tx>
          <c:invertIfNegative val="0"/>
          <c:dLbls>
            <c:delete val="1"/>
          </c:dLbls>
          <c:cat>
            <c:strRef>
              <c:f>Sheet2!$B$44:$D$44</c:f>
              <c:strCache>
                <c:ptCount val="3"/>
                <c:pt idx="0">
                  <c:v>药品</c:v>
                </c:pt>
                <c:pt idx="1">
                  <c:v>化妆品</c:v>
                </c:pt>
                <c:pt idx="2">
                  <c:v>医疗器械</c:v>
                </c:pt>
              </c:strCache>
            </c:strRef>
          </c:cat>
          <c:val>
            <c:numRef>
              <c:f>Sheet2!$B$47:$D$47</c:f>
              <c:numCache>
                <c:formatCode>General</c:formatCode>
                <c:ptCount val="3"/>
                <c:pt idx="0">
                  <c:v>14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87"/>
        <c:axId val="52709632"/>
        <c:axId val="52715520"/>
      </c:barChart>
      <c:barChart>
        <c:barDir val="col"/>
        <c:grouping val="clustered"/>
        <c:varyColors val="0"/>
        <c:ser>
          <c:idx val="0"/>
          <c:order val="0"/>
          <c:tx>
            <c:strRef>
              <c:f>Sheet2!$A$45</c:f>
              <c:strCache>
                <c:ptCount val="1"/>
                <c:pt idx="0">
                  <c:v>投拆</c:v>
                </c:pt>
              </c:strCache>
            </c:strRef>
          </c:tx>
          <c:invertIfNegative val="0"/>
          <c:dLbls>
            <c:delete val="1"/>
          </c:dLbls>
          <c:cat>
            <c:strRef>
              <c:f>Sheet2!$B$44:$D$44</c:f>
              <c:strCache>
                <c:ptCount val="3"/>
                <c:pt idx="0">
                  <c:v>药品</c:v>
                </c:pt>
                <c:pt idx="1">
                  <c:v>化妆品</c:v>
                </c:pt>
                <c:pt idx="2">
                  <c:v>医疗器械</c:v>
                </c:pt>
              </c:strCache>
            </c:strRef>
          </c:cat>
          <c:val>
            <c:numRef>
              <c:f>Sheet2!$B$45:$D$45</c:f>
              <c:numCache>
                <c:formatCode>General</c:formatCode>
                <c:ptCount val="3"/>
                <c:pt idx="0">
                  <c:v>420</c:v>
                </c:pt>
                <c:pt idx="1">
                  <c:v>85</c:v>
                </c:pt>
                <c:pt idx="2">
                  <c:v>59</c:v>
                </c:pt>
              </c:numCache>
            </c:numRef>
          </c:val>
        </c:ser>
        <c:ser>
          <c:idx val="3"/>
          <c:order val="3"/>
          <c:tx>
            <c:strRef>
              <c:f>Sheet2!$A$48</c:f>
              <c:strCache>
                <c:ptCount val="1"/>
                <c:pt idx="0">
                  <c:v>移送司法机关</c:v>
                </c:pt>
              </c:strCache>
            </c:strRef>
          </c:tx>
          <c:invertIfNegative val="0"/>
          <c:dLbls>
            <c:delete val="1"/>
          </c:dLbls>
          <c:cat>
            <c:strRef>
              <c:f>Sheet2!$B$44:$D$44</c:f>
              <c:strCache>
                <c:ptCount val="3"/>
                <c:pt idx="0">
                  <c:v>药品</c:v>
                </c:pt>
                <c:pt idx="1">
                  <c:v>化妆品</c:v>
                </c:pt>
                <c:pt idx="2">
                  <c:v>医疗器械</c:v>
                </c:pt>
              </c:strCache>
            </c:strRef>
          </c:cat>
          <c:val>
            <c:numRef>
              <c:f>Sheet2!$B$48:$D$48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14"/>
        <c:overlap val="-18"/>
        <c:axId val="52718592"/>
        <c:axId val="52717056"/>
      </c:barChart>
      <c:catAx>
        <c:axId val="5270963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52715520"/>
        <c:crosses val="autoZero"/>
        <c:auto val="1"/>
        <c:lblAlgn val="ctr"/>
        <c:lblOffset val="100"/>
        <c:noMultiLvlLbl val="0"/>
      </c:catAx>
      <c:valAx>
        <c:axId val="527155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52709632"/>
        <c:crosses val="autoZero"/>
        <c:crossBetween val="between"/>
      </c:valAx>
      <c:catAx>
        <c:axId val="52718592"/>
        <c:scaling>
          <c:orientation val="minMax"/>
        </c:scaling>
        <c:delete val="1"/>
        <c:axPos val="b"/>
        <c:majorTickMark val="out"/>
        <c:minorTickMark val="none"/>
        <c:tickLblPos val="none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52717056"/>
        <c:crosses val="autoZero"/>
        <c:auto val="1"/>
        <c:lblAlgn val="ctr"/>
        <c:lblOffset val="100"/>
        <c:noMultiLvlLbl val="0"/>
      </c:catAx>
      <c:valAx>
        <c:axId val="52717056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52718592"/>
        <c:crosses val="max"/>
        <c:crossBetween val="between"/>
      </c:valAx>
      <c:dTable>
        <c:showHorzBorder val="1"/>
        <c:showVertBorder val="1"/>
        <c:showOutline val="1"/>
        <c:showKeys val="1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solidFill>
          <a:schemeClr val="accent1">
            <a:lumMod val="40000"/>
            <a:lumOff val="60000"/>
          </a:schemeClr>
        </a:solidFill>
      </c:spPr>
    </c:plotArea>
    <c:plotVisOnly val="1"/>
    <c:dispBlanksAs val="gap"/>
    <c:showDLblsOverMax val="0"/>
    <c:extLst>
      <c:ext uri="{0b15fc19-7d7d-44ad-8c2d-2c3a37ce22c3}">
        <chartProps xmlns="https://web.wps.cn/et/2018/main" chartId="{cef48747-1eef-4da7-88db-d4e61b37a4ec}"/>
      </c:ext>
    </c:extLst>
  </c:chart>
  <c:spPr>
    <a:solidFill>
      <a:schemeClr val="tx2">
        <a:lumMod val="40000"/>
        <a:lumOff val="60000"/>
      </a:schemeClr>
    </a:solidFill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投诉举报信息接收情况</a:t>
            </a:r>
            <a:endParaRPr lang="zh-CN" altLang="en-US"/>
          </a:p>
        </c:rich>
      </c:tx>
      <c:layout>
        <c:manualLayout>
          <c:xMode val="edge"/>
          <c:yMode val="edge"/>
          <c:x val="0.235138888888889"/>
          <c:y val="0.0555555555555555"/>
        </c:manualLayout>
      </c:layout>
      <c:overlay val="0"/>
    </c:title>
    <c:autoTitleDeleted val="0"/>
    <c:view3D>
      <c:rotX val="30"/>
      <c:rotY val="254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FFFF00"/>
              </a:solidFill>
            </c:spPr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dLbl>
              <c:idx val="2"/>
              <c:layout>
                <c:manualLayout>
                  <c:x val="0.016589457567804"/>
                  <c:y val="0.00025991542723826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181205161854768"/>
                  <c:y val="-0.030928477690288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178477690288714"/>
                  <c:y val="-0.073673811606882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Sheet2!$B$66:$B$70</c:f>
              <c:strCache>
                <c:ptCount val="5"/>
                <c:pt idx="0">
                  <c:v>电话</c:v>
                </c:pt>
                <c:pt idx="1">
                  <c:v>网络</c:v>
                </c:pt>
                <c:pt idx="2">
                  <c:v>信件</c:v>
                </c:pt>
                <c:pt idx="3">
                  <c:v>走访</c:v>
                </c:pt>
                <c:pt idx="4">
                  <c:v>其他</c:v>
                </c:pt>
              </c:strCache>
            </c:strRef>
          </c:cat>
          <c:val>
            <c:numRef>
              <c:f>Sheet2!$C$66:$C$70</c:f>
              <c:numCache>
                <c:formatCode>General</c:formatCode>
                <c:ptCount val="5"/>
                <c:pt idx="0">
                  <c:v>494</c:v>
                </c:pt>
                <c:pt idx="1">
                  <c:v>23</c:v>
                </c:pt>
                <c:pt idx="2">
                  <c:v>18</c:v>
                </c:pt>
                <c:pt idx="3">
                  <c:v>6</c:v>
                </c:pt>
                <c:pt idx="4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</c:plotArea>
    <c:legend>
      <c:legendPos val="r"/>
      <c:layout>
        <c:manualLayout>
          <c:xMode val="edge"/>
          <c:yMode val="edge"/>
          <c:x val="0.819487532808399"/>
          <c:y val="0.351817949839606"/>
          <c:w val="0.102734689413824"/>
          <c:h val="0.418585958005251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89d7938-ab67-48a3-bc63-ed0e65645a40}"/>
      </c:ext>
    </c:extLst>
  </c:chart>
  <c:spPr>
    <a:solidFill>
      <a:schemeClr val="tx2">
        <a:lumMod val="40000"/>
        <a:lumOff val="60000"/>
      </a:schemeClr>
    </a:solidFill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受理投诉举报环节（</a:t>
            </a:r>
            <a:r>
              <a:rPr lang="zh-CN" altLang="en-US" sz="1200">
                <a:latin typeface="仿宋_GB2312" panose="02010609030101010101" pitchFamily="3" charset="-122"/>
                <a:ea typeface="仿宋_GB2312" panose="02010609030101010101" pitchFamily="3" charset="-122"/>
              </a:rPr>
              <a:t>单位：个</a:t>
            </a:r>
            <a:r>
              <a:rPr lang="zh-CN" altLang="en-US"/>
              <a:t>）</a:t>
            </a:r>
            <a:endParaRPr lang="zh-CN" altLang="en-US"/>
          </a:p>
        </c:rich>
      </c:tx>
      <c:layout>
        <c:manualLayout>
          <c:xMode val="edge"/>
          <c:yMode val="edge"/>
          <c:x val="0.182555555555556"/>
          <c:y val="0.0509259259259259"/>
        </c:manualLayout>
      </c:layout>
      <c:overlay val="0"/>
    </c:title>
    <c:autoTitleDeleted val="0"/>
    <c:view3D>
      <c:rotX val="30"/>
      <c:rotY val="163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0842283464566937"/>
          <c:y val="0.226272965879265"/>
          <c:w val="0.651419728783902"/>
          <c:h val="0.64189851268592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FFFF00"/>
              </a:solidFill>
            </c:spPr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Sheet2!$B$85:$B$88</c:f>
              <c:strCache>
                <c:ptCount val="4"/>
                <c:pt idx="0">
                  <c:v>生产</c:v>
                </c:pt>
                <c:pt idx="1">
                  <c:v>流通</c:v>
                </c:pt>
                <c:pt idx="2">
                  <c:v>消费/使用</c:v>
                </c:pt>
                <c:pt idx="3">
                  <c:v>其他</c:v>
                </c:pt>
              </c:strCache>
            </c:strRef>
          </c:cat>
          <c:val>
            <c:numRef>
              <c:f>Sheet2!$C$85:$C$88</c:f>
              <c:numCache>
                <c:formatCode>General</c:formatCode>
                <c:ptCount val="4"/>
                <c:pt idx="0">
                  <c:v>17</c:v>
                </c:pt>
                <c:pt idx="1">
                  <c:v>320</c:v>
                </c:pt>
                <c:pt idx="2">
                  <c:v>31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</c:plotArea>
    <c:legend>
      <c:legendPos val="r"/>
      <c:layout>
        <c:manualLayout>
          <c:xMode val="edge"/>
          <c:yMode val="edge"/>
          <c:x val="0.800431977252844"/>
          <c:y val="0.356639690871974"/>
          <c:w val="0.169012467191602"/>
          <c:h val="0.334868766404203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d54e6e0-2ac9-4007-a3e6-443568b492f2}"/>
      </c:ext>
    </c:extLst>
  </c:chart>
  <c:spPr>
    <a:solidFill>
      <a:schemeClr val="tx2">
        <a:lumMod val="40000"/>
        <a:lumOff val="60000"/>
      </a:schemeClr>
    </a:solidFill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药品案件来源情况（</a:t>
            </a:r>
            <a:r>
              <a:rPr lang="zh-CN" altLang="en-US" sz="1200">
                <a:latin typeface="仿宋_GB2312" panose="02010609030101010101" pitchFamily="3" charset="-122"/>
                <a:ea typeface="仿宋_GB2312" panose="02010609030101010101" pitchFamily="3" charset="-122"/>
              </a:rPr>
              <a:t>单位：件</a:t>
            </a:r>
            <a:r>
              <a:rPr lang="zh-CN" altLang="en-US"/>
              <a:t>）</a:t>
            </a:r>
            <a:endParaRPr lang="zh-CN" altLang="en-US"/>
          </a:p>
        </c:rich>
      </c:tx>
      <c:layout/>
      <c:overlay val="0"/>
    </c:title>
    <c:autoTitleDeleted val="0"/>
    <c:view3D>
      <c:rotX val="30"/>
      <c:rotY val="13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0539956255468068"/>
          <c:y val="0.249421114027415"/>
          <c:w val="0.539274059492564"/>
          <c:h val="0.641898512685924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dLbl>
              <c:idx val="3"/>
              <c:layout>
                <c:manualLayout>
                  <c:x val="-0.0525422134733159"/>
                  <c:y val="-0.0044375182268883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Sheet2!$D$154:$D$159</c:f>
              <c:strCache>
                <c:ptCount val="6"/>
                <c:pt idx="0">
                  <c:v>投诉举报</c:v>
                </c:pt>
                <c:pt idx="1">
                  <c:v>监督抽验</c:v>
                </c:pt>
                <c:pt idx="2">
                  <c:v>执法检验</c:v>
                </c:pt>
                <c:pt idx="3">
                  <c:v>日常监管和专项检查</c:v>
                </c:pt>
                <c:pt idx="4">
                  <c:v>其他部门通报</c:v>
                </c:pt>
                <c:pt idx="5">
                  <c:v>其他</c:v>
                </c:pt>
              </c:strCache>
            </c:strRef>
          </c:cat>
          <c:val>
            <c:numRef>
              <c:f>Sheet2!$E$154:$E$159</c:f>
              <c:numCache>
                <c:formatCode>General</c:formatCode>
                <c:ptCount val="6"/>
                <c:pt idx="0">
                  <c:v>11</c:v>
                </c:pt>
                <c:pt idx="1">
                  <c:v>18</c:v>
                </c:pt>
                <c:pt idx="2">
                  <c:v>7</c:v>
                </c:pt>
                <c:pt idx="3">
                  <c:v>151</c:v>
                </c:pt>
                <c:pt idx="4">
                  <c:v>3</c:v>
                </c:pt>
                <c:pt idx="5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</c:plotArea>
    <c:legend>
      <c:legendPos val="r"/>
      <c:layout>
        <c:manualLayout>
          <c:xMode val="edge"/>
          <c:yMode val="edge"/>
          <c:x val="0.711154199475066"/>
          <c:y val="0.231255832604258"/>
          <c:w val="0.288845800524934"/>
          <c:h val="0.497673519976673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90964d8-c560-4c9c-af1c-f60c832f638b}"/>
      </c:ext>
    </c:extLst>
  </c:chart>
  <c:spPr>
    <a:solidFill>
      <a:schemeClr val="tx2">
        <a:lumMod val="40000"/>
        <a:lumOff val="60000"/>
      </a:schemeClr>
    </a:solidFill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药品违法主体划分情况（</a:t>
            </a:r>
            <a:r>
              <a:rPr lang="zh-CN" altLang="en-US" sz="1400">
                <a:latin typeface="仿宋_GB2312" panose="02010609030101010101" pitchFamily="3" charset="-122"/>
                <a:ea typeface="仿宋_GB2312" panose="02010609030101010101" pitchFamily="3" charset="-122"/>
              </a:rPr>
              <a:t>单位：件</a:t>
            </a:r>
            <a:r>
              <a:rPr lang="zh-CN" altLang="en-US"/>
              <a:t>）</a:t>
            </a:r>
            <a:endParaRPr lang="en-US" altLang="zh-CN"/>
          </a:p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 altLang="en-US"/>
          </a:p>
        </c:rich>
      </c:tx>
      <c:layout>
        <c:manualLayout>
          <c:xMode val="edge"/>
          <c:yMode val="edge"/>
          <c:x val="0.243472222222223"/>
          <c:y val="0.0555555555555555"/>
        </c:manualLayout>
      </c:layout>
      <c:overlay val="0"/>
    </c:title>
    <c:autoTitleDeleted val="0"/>
    <c:view3D>
      <c:rotX val="30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0746538523480585"/>
          <c:y val="0.2967461093147"/>
          <c:w val="0.625032841044124"/>
          <c:h val="0.615666272792736"/>
        </c:manualLayout>
      </c:layout>
      <c:pie3DChart>
        <c:varyColors val="1"/>
        <c:ser>
          <c:idx val="0"/>
          <c:order val="0"/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1"/>
              <c:layout>
                <c:manualLayout>
                  <c:x val="-0.160676233878725"/>
                  <c:y val="-0.24113140481499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42470064376281"/>
                  <c:y val="-0.01850757035743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Sheet2!$M$193:$M$196</c:f>
              <c:strCache>
                <c:ptCount val="4"/>
                <c:pt idx="0">
                  <c:v>生产企业</c:v>
                </c:pt>
                <c:pt idx="1">
                  <c:v>经营企业</c:v>
                </c:pt>
                <c:pt idx="2">
                  <c:v>医疗机构</c:v>
                </c:pt>
                <c:pt idx="3">
                  <c:v>其他违法主体</c:v>
                </c:pt>
              </c:strCache>
            </c:strRef>
          </c:cat>
          <c:val>
            <c:numRef>
              <c:f>Sheet2!$N$193:$N$196</c:f>
              <c:numCache>
                <c:formatCode>General</c:formatCode>
                <c:ptCount val="4"/>
                <c:pt idx="0">
                  <c:v>15</c:v>
                </c:pt>
                <c:pt idx="1">
                  <c:v>140</c:v>
                </c:pt>
                <c:pt idx="2">
                  <c:v>34</c:v>
                </c:pt>
                <c:pt idx="3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f0cc205-5478-41a5-90d0-4728b742cb56}"/>
      </c:ext>
    </c:extLst>
  </c:chart>
  <c:spPr>
    <a:solidFill>
      <a:schemeClr val="tx2">
        <a:lumMod val="40000"/>
        <a:lumOff val="60000"/>
      </a:schemeClr>
    </a:solidFill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医疗器械案件来源情况</a:t>
            </a:r>
            <a:r>
              <a:rPr lang="zh-CN" altLang="en-US" sz="1200"/>
              <a:t>（</a:t>
            </a:r>
            <a:r>
              <a:rPr lang="zh-CN" altLang="en-US" sz="1200">
                <a:latin typeface="仿宋_GB2312" panose="02010609030101010101" pitchFamily="3" charset="-122"/>
                <a:ea typeface="仿宋_GB2312" panose="02010609030101010101" pitchFamily="3" charset="-122"/>
              </a:rPr>
              <a:t>单位：件）</a:t>
            </a:r>
            <a:endParaRPr lang="zh-CN" altLang="en-US" sz="1200">
              <a:latin typeface="仿宋_GB2312" panose="02010609030101010101" pitchFamily="3" charset="-122"/>
              <a:ea typeface="仿宋_GB2312" panose="02010609030101010101" pitchFamily="3" charset="-122"/>
            </a:endParaRPr>
          </a:p>
        </c:rich>
      </c:tx>
      <c:layout>
        <c:manualLayout>
          <c:xMode val="edge"/>
          <c:yMode val="edge"/>
          <c:x val="0.243472222222223"/>
          <c:y val="0.0555555555555555"/>
        </c:manualLayout>
      </c:layout>
      <c:overlay val="0"/>
    </c:title>
    <c:autoTitleDeleted val="0"/>
    <c:view3D>
      <c:rotX val="30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Sheet2!$B$173:$B$176</c:f>
              <c:strCache>
                <c:ptCount val="4"/>
                <c:pt idx="0">
                  <c:v>投诉举报</c:v>
                </c:pt>
                <c:pt idx="1">
                  <c:v>监督抽验</c:v>
                </c:pt>
                <c:pt idx="2">
                  <c:v>日常监管和专项检查</c:v>
                </c:pt>
                <c:pt idx="3">
                  <c:v>执法检验</c:v>
                </c:pt>
              </c:strCache>
            </c:strRef>
          </c:cat>
          <c:val>
            <c:numRef>
              <c:f>Sheet2!$C$173:$C$176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13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4137f32-b229-45af-ac1b-3d075f0b938b}"/>
      </c:ext>
    </c:extLst>
  </c:chart>
  <c:spPr>
    <a:solidFill>
      <a:schemeClr val="tx2">
        <a:lumMod val="40000"/>
        <a:lumOff val="60000"/>
      </a:schemeClr>
    </a:solidFill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化妆品案件来源情况（</a:t>
            </a:r>
            <a:r>
              <a:rPr lang="zh-CN" altLang="en-US" sz="1200">
                <a:latin typeface="仿宋_GB2312" panose="02010609030101010101" pitchFamily="3" charset="-122"/>
                <a:ea typeface="仿宋_GB2312" panose="02010609030101010101" pitchFamily="3" charset="-122"/>
              </a:rPr>
              <a:t>单位：件</a:t>
            </a:r>
            <a:r>
              <a:rPr lang="zh-CN" altLang="en-US"/>
              <a:t>）</a:t>
            </a:r>
            <a:endParaRPr lang="zh-CN" altLang="en-US"/>
          </a:p>
        </c:rich>
      </c:tx>
      <c:layout>
        <c:manualLayout>
          <c:xMode val="edge"/>
          <c:yMode val="edge"/>
          <c:x val="0.243472222222223"/>
          <c:y val="0.0555555555555555"/>
        </c:manualLayout>
      </c:layout>
      <c:overlay val="0"/>
    </c:title>
    <c:autoTitleDeleted val="0"/>
    <c:view3D>
      <c:rotX val="30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Sheet2!$B$195:$B$197</c:f>
              <c:strCache>
                <c:ptCount val="3"/>
                <c:pt idx="0">
                  <c:v>监督抽验</c:v>
                </c:pt>
                <c:pt idx="1">
                  <c:v>日常监管和专项检查</c:v>
                </c:pt>
                <c:pt idx="2">
                  <c:v>其他部门通报</c:v>
                </c:pt>
              </c:strCache>
            </c:strRef>
          </c:cat>
          <c:val>
            <c:numRef>
              <c:f>Sheet2!$C$195:$C$197</c:f>
              <c:numCache>
                <c:formatCode>General</c:formatCode>
                <c:ptCount val="3"/>
                <c:pt idx="0">
                  <c:v>4</c:v>
                </c:pt>
                <c:pt idx="1">
                  <c:v>20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b502a96-75d1-421b-a870-d8ce2b4bfc04}"/>
      </c:ext>
    </c:extLst>
  </c:chart>
  <c:spPr>
    <a:solidFill>
      <a:schemeClr val="tx2">
        <a:lumMod val="40000"/>
        <a:lumOff val="60000"/>
      </a:schemeClr>
    </a:solidFill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18A53E-F40E-44E7-8A41-30646A876A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603</Words>
  <Characters>3442</Characters>
  <Lines>28</Lines>
  <Paragraphs>8</Paragraphs>
  <TotalTime>578</TotalTime>
  <ScaleCrop>false</ScaleCrop>
  <LinksUpToDate>false</LinksUpToDate>
  <CharactersWithSpaces>4037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2019-04-25T15:57:00Z</dcterms:created>
  <dc:creator>于静2</dc:creator>
  <cp:lastModifiedBy>kylin</cp:lastModifiedBy>
  <dcterms:modified xsi:type="dcterms:W3CDTF">2026-05-13T10:29:32Z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C1A054851704FE970CE2036AAB66DEE6_42</vt:lpwstr>
  </property>
</Properties>
</file>